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0CEB" w:rsidRPr="00240CEB" w:rsidRDefault="0076117A" w:rsidP="0076117A">
      <w:pPr>
        <w:spacing w:before="100" w:beforeAutospacing="1" w:after="100" w:afterAutospacing="1"/>
        <w:ind w:firstLine="567"/>
        <w:jc w:val="center"/>
        <w:outlineLvl w:val="0"/>
        <w:rPr>
          <w:rFonts w:eastAsia="Times New Roman" w:cs="Times New Roman"/>
          <w:b/>
          <w:bCs/>
          <w:kern w:val="36"/>
          <w:szCs w:val="28"/>
          <w:lang w:val="uz-Latn-UZ" w:eastAsia="uz-Latn-UZ"/>
        </w:rPr>
      </w:pPr>
      <w:r>
        <w:rPr>
          <w:rFonts w:eastAsia="Times New Roman" w:cs="Times New Roman"/>
          <w:b/>
          <w:bCs/>
          <w:kern w:val="36"/>
          <w:szCs w:val="28"/>
          <w:lang w:val="uz-Latn-UZ" w:eastAsia="uz-Latn-UZ"/>
        </w:rPr>
        <w:t xml:space="preserve">Mavzu: </w:t>
      </w:r>
      <w:r w:rsidR="00240CEB" w:rsidRPr="00240CEB">
        <w:rPr>
          <w:rFonts w:eastAsia="Times New Roman" w:cs="Times New Roman"/>
          <w:bCs/>
          <w:kern w:val="36"/>
          <w:szCs w:val="28"/>
          <w:lang w:val="uz-Latn-UZ" w:eastAsia="uz-Latn-UZ"/>
        </w:rPr>
        <w:t>HOFIZ XORAZMIY IJODIDA SHAXS KAMOLOTIGA OID DIDAKTIK QARASHLARNI</w:t>
      </w:r>
    </w:p>
    <w:p w:rsidR="00240CEB" w:rsidRDefault="00240CEB" w:rsidP="0076117A">
      <w:pPr>
        <w:spacing w:before="100" w:beforeAutospacing="1" w:after="100" w:afterAutospacing="1"/>
        <w:ind w:firstLine="567"/>
        <w:jc w:val="both"/>
        <w:outlineLvl w:val="1"/>
        <w:rPr>
          <w:rFonts w:eastAsia="Times New Roman" w:cs="Times New Roman"/>
          <w:szCs w:val="28"/>
          <w:lang w:val="uz-Latn-UZ" w:eastAsia="uz-Latn-UZ"/>
        </w:rPr>
      </w:pPr>
      <w:r w:rsidRPr="00240CEB">
        <w:rPr>
          <w:rFonts w:eastAsia="Times New Roman" w:cs="Times New Roman"/>
          <w:b/>
          <w:bCs/>
          <w:szCs w:val="28"/>
          <w:lang w:val="uz-Latn-UZ" w:eastAsia="uz-Latn-UZ"/>
        </w:rPr>
        <w:t>PRESS metodi</w:t>
      </w:r>
      <w:r>
        <w:rPr>
          <w:rFonts w:eastAsia="Times New Roman" w:cs="Times New Roman"/>
          <w:noProof/>
          <w:szCs w:val="28"/>
          <w:lang w:val="uz-Latn-UZ" w:eastAsia="uz-Latn-UZ"/>
        </w:rPr>
        <w:drawing>
          <wp:anchor distT="0" distB="0" distL="114300" distR="114300" simplePos="0" relativeHeight="251659264" behindDoc="0" locked="0" layoutInCell="1" allowOverlap="1" wp14:anchorId="38C959C1" wp14:editId="1F8506E0">
            <wp:simplePos x="0" y="0"/>
            <wp:positionH relativeFrom="margin">
              <wp:align>center</wp:align>
            </wp:positionH>
            <wp:positionV relativeFrom="paragraph">
              <wp:posOffset>723265</wp:posOffset>
            </wp:positionV>
            <wp:extent cx="5486400" cy="3200400"/>
            <wp:effectExtent l="0" t="0" r="57150" b="0"/>
            <wp:wrapNone/>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anchor>
        </w:drawing>
      </w:r>
      <w:r w:rsidRPr="00240CEB">
        <w:rPr>
          <w:rFonts w:eastAsia="Times New Roman" w:cs="Times New Roman"/>
          <w:szCs w:val="28"/>
          <w:lang w:val="uz-Latn-UZ" w:eastAsia="uz-Latn-UZ"/>
        </w:rPr>
        <w:t xml:space="preserve"> pedagogik va ilmiy tahlilda muayyan g‘oya yoki qarashni asoslash uchun qo‘llaniladigan samarali metodlardan biri hisoblanadi. Ushbu metod quyidagi to‘rt bosqichdan iborat:</w:t>
      </w:r>
    </w:p>
    <w:p w:rsidR="00240CEB" w:rsidRDefault="00240CEB" w:rsidP="00240CEB">
      <w:pPr>
        <w:spacing w:before="100" w:beforeAutospacing="1" w:after="100" w:afterAutospacing="1"/>
        <w:ind w:firstLine="567"/>
        <w:jc w:val="both"/>
        <w:rPr>
          <w:rFonts w:eastAsia="Times New Roman" w:cs="Times New Roman"/>
          <w:szCs w:val="28"/>
          <w:lang w:val="uz-Latn-UZ" w:eastAsia="uz-Latn-UZ"/>
        </w:rPr>
      </w:pPr>
    </w:p>
    <w:p w:rsidR="00240CEB" w:rsidRDefault="00240CEB" w:rsidP="00240CEB">
      <w:pPr>
        <w:spacing w:before="100" w:beforeAutospacing="1" w:after="100" w:afterAutospacing="1"/>
        <w:ind w:firstLine="567"/>
        <w:jc w:val="both"/>
        <w:rPr>
          <w:rFonts w:eastAsia="Times New Roman" w:cs="Times New Roman"/>
          <w:szCs w:val="28"/>
          <w:lang w:val="uz-Latn-UZ" w:eastAsia="uz-Latn-UZ"/>
        </w:rPr>
      </w:pPr>
    </w:p>
    <w:p w:rsidR="00240CEB" w:rsidRDefault="00240CEB" w:rsidP="00240CEB">
      <w:pPr>
        <w:spacing w:before="100" w:beforeAutospacing="1" w:after="100" w:afterAutospacing="1"/>
        <w:ind w:firstLine="567"/>
        <w:jc w:val="both"/>
        <w:rPr>
          <w:rFonts w:eastAsia="Times New Roman" w:cs="Times New Roman"/>
          <w:szCs w:val="28"/>
          <w:lang w:val="uz-Latn-UZ" w:eastAsia="uz-Latn-UZ"/>
        </w:rPr>
      </w:pPr>
    </w:p>
    <w:p w:rsidR="00240CEB" w:rsidRDefault="00240CEB" w:rsidP="00240CEB">
      <w:pPr>
        <w:spacing w:before="100" w:beforeAutospacing="1" w:after="100" w:afterAutospacing="1"/>
        <w:ind w:firstLine="567"/>
        <w:jc w:val="both"/>
        <w:rPr>
          <w:rFonts w:eastAsia="Times New Roman" w:cs="Times New Roman"/>
          <w:szCs w:val="28"/>
          <w:lang w:val="uz-Latn-UZ" w:eastAsia="uz-Latn-UZ"/>
        </w:rPr>
      </w:pPr>
    </w:p>
    <w:p w:rsidR="00240CEB" w:rsidRDefault="00240CEB" w:rsidP="00240CEB">
      <w:pPr>
        <w:spacing w:before="100" w:beforeAutospacing="1" w:after="100" w:afterAutospacing="1"/>
        <w:ind w:firstLine="567"/>
        <w:jc w:val="both"/>
        <w:rPr>
          <w:rFonts w:eastAsia="Times New Roman" w:cs="Times New Roman"/>
          <w:szCs w:val="28"/>
          <w:lang w:val="uz-Latn-UZ" w:eastAsia="uz-Latn-UZ"/>
        </w:rPr>
      </w:pPr>
    </w:p>
    <w:p w:rsidR="00240CEB" w:rsidRDefault="00240CEB" w:rsidP="00240CEB">
      <w:pPr>
        <w:spacing w:before="100" w:beforeAutospacing="1" w:after="100" w:afterAutospacing="1"/>
        <w:ind w:firstLine="567"/>
        <w:jc w:val="both"/>
        <w:rPr>
          <w:rFonts w:eastAsia="Times New Roman" w:cs="Times New Roman"/>
          <w:szCs w:val="28"/>
          <w:lang w:val="uz-Latn-UZ" w:eastAsia="uz-Latn-UZ"/>
        </w:rPr>
      </w:pPr>
    </w:p>
    <w:p w:rsidR="00240CEB" w:rsidRDefault="00240CEB" w:rsidP="00240CEB">
      <w:pPr>
        <w:spacing w:before="100" w:beforeAutospacing="1" w:after="100" w:afterAutospacing="1"/>
        <w:ind w:firstLine="567"/>
        <w:jc w:val="both"/>
        <w:rPr>
          <w:rFonts w:eastAsia="Times New Roman" w:cs="Times New Roman"/>
          <w:szCs w:val="28"/>
          <w:lang w:val="uz-Latn-UZ" w:eastAsia="uz-Latn-UZ"/>
        </w:rPr>
      </w:pPr>
    </w:p>
    <w:p w:rsidR="00240CEB" w:rsidRDefault="000A0211" w:rsidP="00240CEB">
      <w:pPr>
        <w:spacing w:before="100" w:beforeAutospacing="1" w:after="100" w:afterAutospacing="1"/>
        <w:ind w:firstLine="567"/>
        <w:jc w:val="both"/>
        <w:rPr>
          <w:rFonts w:eastAsia="Times New Roman" w:cs="Times New Roman"/>
          <w:szCs w:val="28"/>
          <w:lang w:val="uz-Latn-UZ" w:eastAsia="uz-Latn-UZ"/>
        </w:rPr>
      </w:pPr>
      <w:r>
        <w:rPr>
          <w:rFonts w:eastAsia="Times New Roman" w:cs="Times New Roman"/>
          <w:noProof/>
          <w:szCs w:val="28"/>
          <w:lang w:val="uz-Latn-UZ" w:eastAsia="uz-Latn-UZ"/>
        </w:rPr>
        <mc:AlternateContent>
          <mc:Choice Requires="wps">
            <w:drawing>
              <wp:anchor distT="0" distB="0" distL="114300" distR="114300" simplePos="0" relativeHeight="251661312" behindDoc="0" locked="0" layoutInCell="1" allowOverlap="1">
                <wp:simplePos x="0" y="0"/>
                <wp:positionH relativeFrom="column">
                  <wp:posOffset>-284573</wp:posOffset>
                </wp:positionH>
                <wp:positionV relativeFrom="paragraph">
                  <wp:posOffset>208688</wp:posOffset>
                </wp:positionV>
                <wp:extent cx="610686" cy="1341781"/>
                <wp:effectExtent l="19050" t="0" r="75565" b="29845"/>
                <wp:wrapNone/>
                <wp:docPr id="5" name="Выгнутая влево стрелка 5"/>
                <wp:cNvGraphicFramePr/>
                <a:graphic xmlns:a="http://schemas.openxmlformats.org/drawingml/2006/main">
                  <a:graphicData uri="http://schemas.microsoft.com/office/word/2010/wordprocessingShape">
                    <wps:wsp>
                      <wps:cNvSpPr/>
                      <wps:spPr>
                        <a:xfrm rot="263162">
                          <a:off x="0" y="0"/>
                          <a:ext cx="610686" cy="1341781"/>
                        </a:xfrm>
                        <a:prstGeom prst="curvedRightArrow">
                          <a:avLst>
                            <a:gd name="adj1" fmla="val 30119"/>
                            <a:gd name="adj2" fmla="val 70331"/>
                            <a:gd name="adj3" fmla="val 2500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C59A63"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Выгнутая влево стрелка 5" o:spid="_x0000_s1026" type="#_x0000_t102" style="position:absolute;margin-left:-22.4pt;margin-top:16.45pt;width:48.1pt;height:105.65pt;rotation:287443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xo+6gIAAOgFAAAOAAAAZHJzL2Uyb0RvYy54bWysVM1u1DAQviPxDpbvNMn+tV01W61aFSFV&#10;bdUW9ew69ibIsY3t3Ww5QTlyQOJJKhAXKniG7BsxdrLpilYcEBdrxjP+Zuab8eztL0uBFszYQskU&#10;J1sxRkxSlRVyluLXl0cvdjCyjsiMCCVZim+YxfuT58/2Kj1mPZUrkTGDAETacaVTnDunx1Fkac5K&#10;YreUZhKMXJmSOFDNLMoMqQC9FFEvjkdRpUymjaLMWrg9bIx4EvA5Z9Sdcm6ZQyLFkJsLpwnntT+j&#10;yR4ZzwzReUHbNMg/ZFGSQkLQDuqQOILmpngEVRbUKKu426KqjBTnBWWhBqgmif+o5iInmoVagByr&#10;O5rs/4OlJ4szg4osxUOMJCmhRfWX1af6W/1z9XF1W9+tPqP6a31ff4fzF1p9WN2u3oNyX/+o79DQ&#10;81dpOwaYC31mWs2C6MlYclMio4D03qifjHqBIagZLUMDbroGsKVDFC5HSTzaGWFEwZT0B8n2TuIj&#10;RA2Uh9TGupdMlcgLKaZzs2DZeTHL3dQYVYUIZHFsXWhG1pZEsjcJRrwU0NsFEagfJ8lu2/sNn96m&#10;z3bc74fo0NQNn/6mT28Yx2GGIMM2KkjrHCFxz03DRpDcjWA+MSHPGQfWoeSGlDDv7EAYBOmlmFDK&#10;pEtCNTYnGWuufbR1uO5FoCcAemReCNFhtwD+Lz3Gbnht/f1TFr5L9zhuov/tcfciRFbSdY/LQirz&#10;FICAqtrIjf+apIYaz9K1ym5gJsPcwJe1mh4V0OxjYt0ZMdBBuISN407h4EJVKVathFGuzLun7r0/&#10;fBqwYlTBb0+xfTsnhmEkXkn4TrvJYODXQ1AGw+0eKGbTcr1pkfPyQEGbYKYguyB6fyfWIjeqvILF&#10;NPVRwUQkhdgwrs6slQPXbCFYbZRNp8ENVoIm7lheaOrBPat+li6XV8ToduId/JUTtd4M7dg1jD74&#10;+pdSTedO8cJ54wOvrQLrJAxOu/r8vtrUg9fDgp78BgAA//8DAFBLAwQUAAYACAAAACEAJsbYO+EA&#10;AAAJAQAADwAAAGRycy9kb3ducmV2LnhtbEyPXUvDMBiF7wX/Q3gF77Z0MUqtTYeIIugcWxX0Mmte&#10;22o+SpN18d8br9zl4RzOeU65jEaTCUffOytgMc+AoG2c6m0r4O31YZYD8UFaJbWzKOAHPSyr05NS&#10;Fsod7BanOrQklVhfSAFdCENBqW86NNLP3YA2eZ9uNDIkObZUjfKQyo2mLMuuqJG9TQudHPCuw+a7&#10;3hsBm/eXenWfP+cshunrQz+unzZxLcT5Wby9ARIwhv8w/OEndKgS087trfJEC5hxntCDgAt2DSQF&#10;LhccyE4A45wBrUp6/KD6BQAA//8DAFBLAQItABQABgAIAAAAIQC2gziS/gAAAOEBAAATAAAAAAAA&#10;AAAAAAAAAAAAAABbQ29udGVudF9UeXBlc10ueG1sUEsBAi0AFAAGAAgAAAAhADj9If/WAAAAlAEA&#10;AAsAAAAAAAAAAAAAAAAALwEAAF9yZWxzLy5yZWxzUEsBAi0AFAAGAAgAAAAhADIvGj7qAgAA6AUA&#10;AA4AAAAAAAAAAAAAAAAALgIAAGRycy9lMm9Eb2MueG1sUEsBAi0AFAAGAAgAAAAhACbG2DvhAAAA&#10;CQEAAA8AAAAAAAAAAAAAAAAARAUAAGRycy9kb3ducmV2LnhtbFBLBQYAAAAABAAEAPMAAABSBgAA&#10;AAA=&#10;" adj="14686,19623,16200" fillcolor="#5b9bd5 [3204]" strokecolor="#1f4d78 [1604]" strokeweight="1pt"/>
            </w:pict>
          </mc:Fallback>
        </mc:AlternateContent>
      </w:r>
    </w:p>
    <w:p w:rsidR="00240CEB" w:rsidRDefault="0076117A" w:rsidP="0076117A">
      <w:pPr>
        <w:spacing w:before="100" w:beforeAutospacing="1" w:after="100" w:afterAutospacing="1"/>
        <w:ind w:firstLine="567"/>
        <w:jc w:val="right"/>
        <w:rPr>
          <w:rFonts w:eastAsia="Times New Roman" w:cs="Times New Roman"/>
          <w:bCs/>
          <w:kern w:val="36"/>
          <w:szCs w:val="28"/>
          <w:lang w:val="uz-Latn-UZ" w:eastAsia="uz-Latn-UZ"/>
        </w:rPr>
      </w:pPr>
      <w:r>
        <w:rPr>
          <w:rFonts w:eastAsia="Times New Roman" w:cs="Times New Roman"/>
          <w:bCs/>
          <w:noProof/>
          <w:kern w:val="36"/>
          <w:szCs w:val="28"/>
          <w:lang w:val="uz-Latn-UZ" w:eastAsia="uz-Latn-UZ"/>
        </w:rPr>
        <w:drawing>
          <wp:anchor distT="0" distB="0" distL="114300" distR="114300" simplePos="0" relativeHeight="251660288" behindDoc="0" locked="0" layoutInCell="1" allowOverlap="1" wp14:anchorId="2F816384" wp14:editId="11D38B75">
            <wp:simplePos x="0" y="0"/>
            <wp:positionH relativeFrom="margin">
              <wp:align>right</wp:align>
            </wp:positionH>
            <wp:positionV relativeFrom="paragraph">
              <wp:posOffset>489689</wp:posOffset>
            </wp:positionV>
            <wp:extent cx="5635241" cy="4380540"/>
            <wp:effectExtent l="38100" t="38100" r="22860" b="20320"/>
            <wp:wrapNone/>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margin">
              <wp14:pctWidth>0</wp14:pctWidth>
            </wp14:sizeRelH>
            <wp14:sizeRelV relativeFrom="margin">
              <wp14:pctHeight>0</wp14:pctHeight>
            </wp14:sizeRelV>
          </wp:anchor>
        </w:drawing>
      </w:r>
      <w:r w:rsidRPr="00240CEB">
        <w:rPr>
          <w:rFonts w:eastAsia="Times New Roman" w:cs="Times New Roman"/>
          <w:b/>
          <w:bCs/>
          <w:szCs w:val="28"/>
          <w:lang w:val="uz-Latn-UZ" w:eastAsia="uz-Latn-UZ"/>
        </w:rPr>
        <w:t>PRESS</w:t>
      </w:r>
      <w:r>
        <w:rPr>
          <w:rFonts w:eastAsia="Times New Roman" w:cs="Times New Roman"/>
          <w:b/>
          <w:bCs/>
          <w:szCs w:val="28"/>
          <w:lang w:val="uz-Latn-UZ" w:eastAsia="uz-Latn-UZ"/>
        </w:rPr>
        <w:t>:</w:t>
      </w:r>
      <w:r w:rsidRPr="00240CEB">
        <w:rPr>
          <w:rFonts w:eastAsia="Times New Roman" w:cs="Times New Roman"/>
          <w:b/>
          <w:bCs/>
          <w:szCs w:val="28"/>
          <w:lang w:val="uz-Latn-UZ" w:eastAsia="uz-Latn-UZ"/>
        </w:rPr>
        <w:t xml:space="preserve"> </w:t>
      </w:r>
      <w:r w:rsidRPr="00240CEB">
        <w:rPr>
          <w:rFonts w:eastAsia="Times New Roman" w:cs="Times New Roman"/>
          <w:bCs/>
          <w:kern w:val="36"/>
          <w:szCs w:val="28"/>
          <w:lang w:val="uz-Latn-UZ" w:eastAsia="uz-Latn-UZ"/>
        </w:rPr>
        <w:t>HOFIZ XORAZMIY IJODIDA SHAXS KAMOLOTIGA OID DIDAKTIK QARASHLARNI</w:t>
      </w:r>
    </w:p>
    <w:p w:rsidR="0076117A" w:rsidRDefault="0076117A" w:rsidP="0076117A">
      <w:pPr>
        <w:spacing w:before="100" w:beforeAutospacing="1" w:after="100" w:afterAutospacing="1"/>
        <w:ind w:firstLine="567"/>
        <w:jc w:val="center"/>
        <w:rPr>
          <w:rFonts w:eastAsia="Times New Roman" w:cs="Times New Roman"/>
          <w:bCs/>
          <w:kern w:val="36"/>
          <w:szCs w:val="28"/>
          <w:lang w:val="uz-Latn-UZ" w:eastAsia="uz-Latn-UZ"/>
        </w:rPr>
      </w:pPr>
    </w:p>
    <w:p w:rsidR="0076117A" w:rsidRDefault="0076117A" w:rsidP="0076117A">
      <w:pPr>
        <w:spacing w:before="100" w:beforeAutospacing="1" w:after="100" w:afterAutospacing="1"/>
        <w:ind w:firstLine="567"/>
        <w:jc w:val="center"/>
        <w:rPr>
          <w:rFonts w:eastAsia="Times New Roman" w:cs="Times New Roman"/>
          <w:bCs/>
          <w:kern w:val="36"/>
          <w:szCs w:val="28"/>
          <w:lang w:val="uz-Latn-UZ" w:eastAsia="uz-Latn-UZ"/>
        </w:rPr>
      </w:pPr>
      <w:bookmarkStart w:id="0" w:name="_GoBack"/>
      <w:bookmarkEnd w:id="0"/>
    </w:p>
    <w:p w:rsidR="0076117A" w:rsidRDefault="0076117A" w:rsidP="0076117A">
      <w:pPr>
        <w:spacing w:before="100" w:beforeAutospacing="1" w:after="100" w:afterAutospacing="1"/>
        <w:ind w:firstLine="567"/>
        <w:jc w:val="center"/>
        <w:rPr>
          <w:rFonts w:eastAsia="Times New Roman" w:cs="Times New Roman"/>
          <w:bCs/>
          <w:kern w:val="36"/>
          <w:szCs w:val="28"/>
          <w:lang w:val="uz-Latn-UZ" w:eastAsia="uz-Latn-UZ"/>
        </w:rPr>
      </w:pPr>
    </w:p>
    <w:p w:rsidR="0076117A" w:rsidRDefault="0076117A" w:rsidP="0076117A">
      <w:pPr>
        <w:spacing w:before="100" w:beforeAutospacing="1" w:after="100" w:afterAutospacing="1"/>
        <w:ind w:firstLine="567"/>
        <w:jc w:val="center"/>
        <w:rPr>
          <w:rFonts w:eastAsia="Times New Roman" w:cs="Times New Roman"/>
          <w:bCs/>
          <w:kern w:val="36"/>
          <w:szCs w:val="28"/>
          <w:lang w:val="uz-Latn-UZ" w:eastAsia="uz-Latn-UZ"/>
        </w:rPr>
      </w:pPr>
    </w:p>
    <w:p w:rsidR="0076117A" w:rsidRDefault="0076117A" w:rsidP="0076117A">
      <w:pPr>
        <w:spacing w:before="100" w:beforeAutospacing="1" w:after="100" w:afterAutospacing="1"/>
        <w:ind w:firstLine="567"/>
        <w:jc w:val="center"/>
        <w:rPr>
          <w:rFonts w:eastAsia="Times New Roman" w:cs="Times New Roman"/>
          <w:bCs/>
          <w:kern w:val="36"/>
          <w:szCs w:val="28"/>
          <w:lang w:val="uz-Latn-UZ" w:eastAsia="uz-Latn-UZ"/>
        </w:rPr>
      </w:pPr>
    </w:p>
    <w:p w:rsidR="0076117A" w:rsidRDefault="0076117A" w:rsidP="0076117A">
      <w:pPr>
        <w:spacing w:before="100" w:beforeAutospacing="1" w:after="100" w:afterAutospacing="1"/>
        <w:ind w:firstLine="567"/>
        <w:jc w:val="center"/>
        <w:rPr>
          <w:rFonts w:eastAsia="Times New Roman" w:cs="Times New Roman"/>
          <w:bCs/>
          <w:kern w:val="36"/>
          <w:szCs w:val="28"/>
          <w:lang w:val="uz-Latn-UZ" w:eastAsia="uz-Latn-UZ"/>
        </w:rPr>
      </w:pPr>
    </w:p>
    <w:p w:rsidR="0076117A" w:rsidRDefault="0076117A" w:rsidP="0076117A">
      <w:pPr>
        <w:spacing w:before="100" w:beforeAutospacing="1" w:after="100" w:afterAutospacing="1"/>
        <w:ind w:firstLine="567"/>
        <w:jc w:val="center"/>
        <w:rPr>
          <w:rFonts w:eastAsia="Times New Roman" w:cs="Times New Roman"/>
          <w:bCs/>
          <w:kern w:val="36"/>
          <w:szCs w:val="28"/>
          <w:lang w:val="uz-Latn-UZ" w:eastAsia="uz-Latn-UZ"/>
        </w:rPr>
      </w:pPr>
    </w:p>
    <w:p w:rsidR="0076117A" w:rsidRDefault="0076117A" w:rsidP="0076117A">
      <w:pPr>
        <w:spacing w:before="100" w:beforeAutospacing="1" w:after="100" w:afterAutospacing="1"/>
        <w:ind w:firstLine="567"/>
        <w:jc w:val="center"/>
        <w:rPr>
          <w:rFonts w:eastAsia="Times New Roman" w:cs="Times New Roman"/>
          <w:bCs/>
          <w:kern w:val="36"/>
          <w:szCs w:val="28"/>
          <w:lang w:val="uz-Latn-UZ" w:eastAsia="uz-Latn-UZ"/>
        </w:rPr>
      </w:pPr>
    </w:p>
    <w:p w:rsidR="0076117A" w:rsidRDefault="0076117A" w:rsidP="0076117A">
      <w:pPr>
        <w:spacing w:before="100" w:beforeAutospacing="1" w:after="100" w:afterAutospacing="1"/>
        <w:ind w:firstLine="567"/>
        <w:jc w:val="center"/>
        <w:rPr>
          <w:rFonts w:eastAsia="Times New Roman" w:cs="Times New Roman"/>
          <w:bCs/>
          <w:kern w:val="36"/>
          <w:szCs w:val="28"/>
          <w:lang w:val="uz-Latn-UZ" w:eastAsia="uz-Latn-UZ"/>
        </w:rPr>
      </w:pPr>
    </w:p>
    <w:p w:rsidR="0076117A" w:rsidRDefault="0076117A" w:rsidP="0076117A">
      <w:pPr>
        <w:spacing w:before="100" w:beforeAutospacing="1" w:after="100" w:afterAutospacing="1"/>
        <w:ind w:firstLine="567"/>
        <w:jc w:val="center"/>
        <w:rPr>
          <w:rFonts w:eastAsia="Times New Roman" w:cs="Times New Roman"/>
          <w:szCs w:val="28"/>
          <w:lang w:val="uz-Latn-UZ" w:eastAsia="uz-Latn-UZ"/>
        </w:rPr>
      </w:pPr>
    </w:p>
    <w:p w:rsidR="00240CEB" w:rsidRPr="00240CEB" w:rsidRDefault="00240CEB" w:rsidP="00240CEB">
      <w:pPr>
        <w:spacing w:before="100" w:beforeAutospacing="1" w:after="100" w:afterAutospacing="1"/>
        <w:ind w:firstLine="567"/>
        <w:jc w:val="both"/>
        <w:rPr>
          <w:rFonts w:eastAsia="Times New Roman" w:cs="Times New Roman"/>
          <w:szCs w:val="28"/>
          <w:lang w:val="uz-Latn-UZ" w:eastAsia="uz-Latn-UZ"/>
        </w:rPr>
      </w:pPr>
      <w:r w:rsidRPr="00240CEB">
        <w:rPr>
          <w:rFonts w:eastAsia="Times New Roman" w:cs="Times New Roman"/>
          <w:szCs w:val="28"/>
          <w:lang w:val="uz-Latn-UZ" w:eastAsia="uz-Latn-UZ"/>
        </w:rPr>
        <w:lastRenderedPageBreak/>
        <w:t>Mazkur metod Hofiz Xorazmiy ijodidagi didaktik qarashlarni tahlil qilishda ham samarali qo‘llanishi mumkin.</w:t>
      </w:r>
    </w:p>
    <w:p w:rsidR="00240CEB" w:rsidRPr="00240CEB" w:rsidRDefault="00240CEB" w:rsidP="00240CEB">
      <w:pPr>
        <w:spacing w:after="0"/>
        <w:ind w:firstLine="567"/>
        <w:jc w:val="both"/>
        <w:rPr>
          <w:rFonts w:eastAsia="Times New Roman" w:cs="Times New Roman"/>
          <w:szCs w:val="28"/>
          <w:lang w:val="uz-Latn-UZ" w:eastAsia="uz-Latn-UZ"/>
        </w:rPr>
      </w:pPr>
      <w:r w:rsidRPr="00240CEB">
        <w:rPr>
          <w:rFonts w:eastAsia="Times New Roman" w:cs="Times New Roman"/>
          <w:szCs w:val="28"/>
          <w:lang w:val="uz-Latn-UZ" w:eastAsia="uz-Latn-UZ"/>
        </w:rPr>
        <w:pict>
          <v:rect id="_x0000_i1112" style="width:0;height:1.5pt" o:hralign="center" o:hrstd="t" o:hr="t" fillcolor="#a0a0a0" stroked="f"/>
        </w:pict>
      </w:r>
    </w:p>
    <w:p w:rsidR="00240CEB" w:rsidRPr="00240CEB" w:rsidRDefault="00240CEB" w:rsidP="00240CEB">
      <w:pPr>
        <w:spacing w:before="100" w:beforeAutospacing="1" w:after="100" w:afterAutospacing="1"/>
        <w:ind w:firstLine="567"/>
        <w:jc w:val="both"/>
        <w:outlineLvl w:val="0"/>
        <w:rPr>
          <w:rFonts w:eastAsia="Times New Roman" w:cs="Times New Roman"/>
          <w:b/>
          <w:bCs/>
          <w:kern w:val="36"/>
          <w:szCs w:val="28"/>
          <w:lang w:val="uz-Latn-UZ" w:eastAsia="uz-Latn-UZ"/>
        </w:rPr>
      </w:pPr>
      <w:r w:rsidRPr="00240CEB">
        <w:rPr>
          <w:rFonts w:eastAsia="Times New Roman" w:cs="Times New Roman"/>
          <w:b/>
          <w:bCs/>
          <w:kern w:val="36"/>
          <w:szCs w:val="28"/>
          <w:lang w:val="uz-Latn-UZ" w:eastAsia="uz-Latn-UZ"/>
        </w:rPr>
        <w:t>1. POSITION (POZITSIYA)</w:t>
      </w:r>
    </w:p>
    <w:p w:rsidR="00240CEB" w:rsidRPr="00240CEB" w:rsidRDefault="00240CEB" w:rsidP="00240CEB">
      <w:pPr>
        <w:spacing w:before="100" w:beforeAutospacing="1" w:after="100" w:afterAutospacing="1"/>
        <w:ind w:firstLine="567"/>
        <w:jc w:val="both"/>
        <w:rPr>
          <w:rFonts w:eastAsia="Times New Roman" w:cs="Times New Roman"/>
          <w:szCs w:val="28"/>
          <w:lang w:val="uz-Latn-UZ" w:eastAsia="uz-Latn-UZ"/>
        </w:rPr>
      </w:pPr>
      <w:r w:rsidRPr="00240CEB">
        <w:rPr>
          <w:rFonts w:eastAsia="Times New Roman" w:cs="Times New Roman"/>
          <w:szCs w:val="28"/>
          <w:lang w:val="uz-Latn-UZ" w:eastAsia="uz-Latn-UZ"/>
        </w:rPr>
        <w:t>Hofiz Xorazmiy ijodida shaxs kamoloti masalasi ishq, aql, ilm va tarbiya kabi tushunchalar orqali talqin etilib, insonning ma’naviy yetuklikka erishishi ana shu omillarning uyg‘unligi orqali yuzaga kelishi ta’kidlanadi.</w:t>
      </w:r>
    </w:p>
    <w:p w:rsidR="00240CEB" w:rsidRPr="00240CEB" w:rsidRDefault="00240CEB" w:rsidP="00240CEB">
      <w:pPr>
        <w:spacing w:before="100" w:beforeAutospacing="1" w:after="100" w:afterAutospacing="1"/>
        <w:ind w:firstLine="567"/>
        <w:jc w:val="both"/>
        <w:rPr>
          <w:rFonts w:eastAsia="Times New Roman" w:cs="Times New Roman"/>
          <w:szCs w:val="28"/>
          <w:lang w:val="uz-Latn-UZ" w:eastAsia="uz-Latn-UZ"/>
        </w:rPr>
      </w:pPr>
      <w:r w:rsidRPr="00240CEB">
        <w:rPr>
          <w:rFonts w:eastAsia="Times New Roman" w:cs="Times New Roman"/>
          <w:szCs w:val="28"/>
          <w:lang w:val="uz-Latn-UZ" w:eastAsia="uz-Latn-UZ"/>
        </w:rPr>
        <w:t>Shoir nazarida inson faqat tashqi bilimlar yoki hissiy kechinmalar orqali mukammallikka erisha olmaydi. Shaxs kamoloti – bu aql, ilm, ruhiy tajriba va tarbiyaviy jarayonlarning o‘zaro bog‘liqligi natijasida shakllanadigan murakkab ma’naviy jarayondir.</w:t>
      </w:r>
    </w:p>
    <w:p w:rsidR="00240CEB" w:rsidRPr="00240CEB" w:rsidRDefault="00240CEB" w:rsidP="00240CEB">
      <w:pPr>
        <w:spacing w:before="100" w:beforeAutospacing="1" w:after="100" w:afterAutospacing="1"/>
        <w:ind w:firstLine="567"/>
        <w:jc w:val="both"/>
        <w:rPr>
          <w:rFonts w:eastAsia="Times New Roman" w:cs="Times New Roman"/>
          <w:szCs w:val="28"/>
          <w:lang w:val="uz-Latn-UZ" w:eastAsia="uz-Latn-UZ"/>
        </w:rPr>
      </w:pPr>
      <w:r w:rsidRPr="00240CEB">
        <w:rPr>
          <w:rFonts w:eastAsia="Times New Roman" w:cs="Times New Roman"/>
          <w:szCs w:val="28"/>
          <w:lang w:val="uz-Latn-UZ" w:eastAsia="uz-Latn-UZ"/>
        </w:rPr>
        <w:t>Hofiz Xorazmiy she’riyatida insonning ichki dunyosi, ruhiy poklanishi, ilohiy ishq orqali kamol topishi kabi masalalar markaziy o‘rinni egallaydi. Shu sababli shoir ijodi nafaqat adabiy-estetik, balki pedagogik-didaktik jihatdan ham muhim ilmiy ahamiyat kasb etadi.</w:t>
      </w:r>
    </w:p>
    <w:p w:rsidR="00240CEB" w:rsidRPr="00240CEB" w:rsidRDefault="00240CEB" w:rsidP="00240CEB">
      <w:pPr>
        <w:spacing w:after="0"/>
        <w:ind w:firstLine="567"/>
        <w:jc w:val="both"/>
        <w:rPr>
          <w:rFonts w:eastAsia="Times New Roman" w:cs="Times New Roman"/>
          <w:szCs w:val="28"/>
          <w:lang w:val="uz-Latn-UZ" w:eastAsia="uz-Latn-UZ"/>
        </w:rPr>
      </w:pPr>
      <w:r w:rsidRPr="00240CEB">
        <w:rPr>
          <w:rFonts w:eastAsia="Times New Roman" w:cs="Times New Roman"/>
          <w:szCs w:val="28"/>
          <w:lang w:val="uz-Latn-UZ" w:eastAsia="uz-Latn-UZ"/>
        </w:rPr>
        <w:pict>
          <v:rect id="_x0000_i1113" style="width:0;height:1.5pt" o:hralign="center" o:hrstd="t" o:hr="t" fillcolor="#a0a0a0" stroked="f"/>
        </w:pict>
      </w:r>
    </w:p>
    <w:p w:rsidR="00240CEB" w:rsidRPr="00240CEB" w:rsidRDefault="00240CEB" w:rsidP="00240CEB">
      <w:pPr>
        <w:spacing w:before="100" w:beforeAutospacing="1" w:after="100" w:afterAutospacing="1"/>
        <w:ind w:firstLine="567"/>
        <w:jc w:val="both"/>
        <w:outlineLvl w:val="0"/>
        <w:rPr>
          <w:rFonts w:eastAsia="Times New Roman" w:cs="Times New Roman"/>
          <w:b/>
          <w:bCs/>
          <w:kern w:val="36"/>
          <w:szCs w:val="28"/>
          <w:lang w:val="uz-Latn-UZ" w:eastAsia="uz-Latn-UZ"/>
        </w:rPr>
      </w:pPr>
      <w:r w:rsidRPr="00240CEB">
        <w:rPr>
          <w:rFonts w:eastAsia="Times New Roman" w:cs="Times New Roman"/>
          <w:b/>
          <w:bCs/>
          <w:kern w:val="36"/>
          <w:szCs w:val="28"/>
          <w:lang w:val="uz-Latn-UZ" w:eastAsia="uz-Latn-UZ"/>
        </w:rPr>
        <w:t>2. REASON (SABAB)</w:t>
      </w:r>
    </w:p>
    <w:p w:rsidR="00240CEB" w:rsidRPr="00240CEB" w:rsidRDefault="00240CEB" w:rsidP="00240CEB">
      <w:pPr>
        <w:spacing w:before="100" w:beforeAutospacing="1" w:after="100" w:afterAutospacing="1"/>
        <w:ind w:firstLine="567"/>
        <w:jc w:val="both"/>
        <w:rPr>
          <w:rFonts w:eastAsia="Times New Roman" w:cs="Times New Roman"/>
          <w:szCs w:val="28"/>
          <w:lang w:val="uz-Latn-UZ" w:eastAsia="uz-Latn-UZ"/>
        </w:rPr>
      </w:pPr>
      <w:r w:rsidRPr="00240CEB">
        <w:rPr>
          <w:rFonts w:eastAsia="Times New Roman" w:cs="Times New Roman"/>
          <w:szCs w:val="28"/>
          <w:lang w:val="uz-Latn-UZ" w:eastAsia="uz-Latn-UZ"/>
        </w:rPr>
        <w:t>Hofiz Xorazmiy ijodida shaxs kamoloti g‘oyasi ilgari surilishining asosiy sababi – insonni ma’naviy yetuklikka yetaklovchi omillarni badiiy va falsafiy jihatdan yoritishdir.</w:t>
      </w:r>
    </w:p>
    <w:p w:rsidR="00240CEB" w:rsidRPr="00240CEB" w:rsidRDefault="00240CEB" w:rsidP="00240CEB">
      <w:pPr>
        <w:spacing w:before="100" w:beforeAutospacing="1" w:after="100" w:afterAutospacing="1"/>
        <w:ind w:firstLine="567"/>
        <w:jc w:val="both"/>
        <w:rPr>
          <w:rFonts w:eastAsia="Times New Roman" w:cs="Times New Roman"/>
          <w:szCs w:val="28"/>
          <w:lang w:val="uz-Latn-UZ" w:eastAsia="uz-Latn-UZ"/>
        </w:rPr>
      </w:pPr>
      <w:r w:rsidRPr="00240CEB">
        <w:rPr>
          <w:rFonts w:eastAsia="Times New Roman" w:cs="Times New Roman"/>
          <w:szCs w:val="28"/>
          <w:lang w:val="uz-Latn-UZ" w:eastAsia="uz-Latn-UZ"/>
        </w:rPr>
        <w:t>Shoir asarlarida quyidagi didaktik g‘oyalar alohida o‘rin tutadi:</w:t>
      </w:r>
    </w:p>
    <w:p w:rsidR="00240CEB" w:rsidRPr="00240CEB" w:rsidRDefault="00240CEB" w:rsidP="00240CEB">
      <w:pPr>
        <w:spacing w:before="100" w:beforeAutospacing="1" w:after="100" w:afterAutospacing="1"/>
        <w:ind w:firstLine="567"/>
        <w:jc w:val="both"/>
        <w:outlineLvl w:val="2"/>
        <w:rPr>
          <w:rFonts w:eastAsia="Times New Roman" w:cs="Times New Roman"/>
          <w:b/>
          <w:bCs/>
          <w:szCs w:val="28"/>
          <w:lang w:val="uz-Latn-UZ" w:eastAsia="uz-Latn-UZ"/>
        </w:rPr>
      </w:pPr>
      <w:r w:rsidRPr="00240CEB">
        <w:rPr>
          <w:rFonts w:eastAsia="Times New Roman" w:cs="Times New Roman"/>
          <w:b/>
          <w:bCs/>
          <w:szCs w:val="28"/>
          <w:lang w:val="uz-Latn-UZ" w:eastAsia="uz-Latn-UZ"/>
        </w:rPr>
        <w:t>1. Ishq – ma’naviy kamolotning asosiy manbai</w:t>
      </w:r>
    </w:p>
    <w:p w:rsidR="00240CEB" w:rsidRPr="00240CEB" w:rsidRDefault="00240CEB" w:rsidP="00240CEB">
      <w:pPr>
        <w:spacing w:before="100" w:beforeAutospacing="1" w:after="100" w:afterAutospacing="1"/>
        <w:ind w:firstLine="567"/>
        <w:jc w:val="both"/>
        <w:rPr>
          <w:rFonts w:eastAsia="Times New Roman" w:cs="Times New Roman"/>
          <w:szCs w:val="28"/>
          <w:lang w:val="uz-Latn-UZ" w:eastAsia="uz-Latn-UZ"/>
        </w:rPr>
      </w:pPr>
      <w:r w:rsidRPr="00240CEB">
        <w:rPr>
          <w:rFonts w:eastAsia="Times New Roman" w:cs="Times New Roman"/>
          <w:szCs w:val="28"/>
          <w:lang w:val="uz-Latn-UZ" w:eastAsia="uz-Latn-UZ"/>
        </w:rPr>
        <w:t>Shoir tasavvurida ishq insonni poklaydigan, uning ruhiy olamini boyitadigan va uni haqiqat sari yetaklaydigan qudratli kuch hisoblanadi. Ishq insonni nafsdan poklaydi, sabr va fidoyilikka o‘rgatadi hamda shaxsning ichki dunyosini yuksaltiradi.</w:t>
      </w:r>
    </w:p>
    <w:p w:rsidR="00240CEB" w:rsidRPr="00240CEB" w:rsidRDefault="00240CEB" w:rsidP="00240CEB">
      <w:pPr>
        <w:spacing w:before="100" w:beforeAutospacing="1" w:after="100" w:afterAutospacing="1"/>
        <w:ind w:firstLine="567"/>
        <w:jc w:val="both"/>
        <w:outlineLvl w:val="2"/>
        <w:rPr>
          <w:rFonts w:eastAsia="Times New Roman" w:cs="Times New Roman"/>
          <w:b/>
          <w:bCs/>
          <w:szCs w:val="28"/>
          <w:lang w:val="uz-Latn-UZ" w:eastAsia="uz-Latn-UZ"/>
        </w:rPr>
      </w:pPr>
      <w:r w:rsidRPr="00240CEB">
        <w:rPr>
          <w:rFonts w:eastAsia="Times New Roman" w:cs="Times New Roman"/>
          <w:b/>
          <w:bCs/>
          <w:szCs w:val="28"/>
          <w:lang w:val="uz-Latn-UZ" w:eastAsia="uz-Latn-UZ"/>
        </w:rPr>
        <w:t>2. Aql – tafakkur va idrok vositasi</w:t>
      </w:r>
    </w:p>
    <w:p w:rsidR="00240CEB" w:rsidRPr="00240CEB" w:rsidRDefault="00240CEB" w:rsidP="00240CEB">
      <w:pPr>
        <w:spacing w:before="100" w:beforeAutospacing="1" w:after="100" w:afterAutospacing="1"/>
        <w:ind w:firstLine="567"/>
        <w:jc w:val="both"/>
        <w:rPr>
          <w:rFonts w:eastAsia="Times New Roman" w:cs="Times New Roman"/>
          <w:szCs w:val="28"/>
          <w:lang w:val="uz-Latn-UZ" w:eastAsia="uz-Latn-UZ"/>
        </w:rPr>
      </w:pPr>
      <w:r w:rsidRPr="00240CEB">
        <w:rPr>
          <w:rFonts w:eastAsia="Times New Roman" w:cs="Times New Roman"/>
          <w:szCs w:val="28"/>
          <w:lang w:val="uz-Latn-UZ" w:eastAsia="uz-Latn-UZ"/>
        </w:rPr>
        <w:t>Aql insonning fikrlash jarayonini tartibga soluvchi vosita bo‘lsa-da, shoir nazarida u ishqning mohiyatini to‘liq anglab yetishga qodir emas. Aql insonni ehtiyotkorlik va donolik sari yetaklasa, ishq esa uni ruhiy sinovlar orqali komillikka olib boradi.</w:t>
      </w:r>
    </w:p>
    <w:p w:rsidR="00240CEB" w:rsidRPr="00240CEB" w:rsidRDefault="00240CEB" w:rsidP="00240CEB">
      <w:pPr>
        <w:spacing w:before="100" w:beforeAutospacing="1" w:after="100" w:afterAutospacing="1"/>
        <w:ind w:firstLine="567"/>
        <w:jc w:val="both"/>
        <w:outlineLvl w:val="2"/>
        <w:rPr>
          <w:rFonts w:eastAsia="Times New Roman" w:cs="Times New Roman"/>
          <w:b/>
          <w:bCs/>
          <w:szCs w:val="28"/>
          <w:lang w:val="uz-Latn-UZ" w:eastAsia="uz-Latn-UZ"/>
        </w:rPr>
      </w:pPr>
      <w:r w:rsidRPr="00240CEB">
        <w:rPr>
          <w:rFonts w:eastAsia="Times New Roman" w:cs="Times New Roman"/>
          <w:b/>
          <w:bCs/>
          <w:szCs w:val="28"/>
          <w:lang w:val="uz-Latn-UZ" w:eastAsia="uz-Latn-UZ"/>
        </w:rPr>
        <w:t>3. Ilm – haqiqatni anglash vositasi</w:t>
      </w:r>
    </w:p>
    <w:p w:rsidR="00240CEB" w:rsidRPr="00240CEB" w:rsidRDefault="00240CEB" w:rsidP="00240CEB">
      <w:pPr>
        <w:spacing w:before="100" w:beforeAutospacing="1" w:after="100" w:afterAutospacing="1"/>
        <w:ind w:firstLine="567"/>
        <w:jc w:val="both"/>
        <w:rPr>
          <w:rFonts w:eastAsia="Times New Roman" w:cs="Times New Roman"/>
          <w:szCs w:val="28"/>
          <w:lang w:val="uz-Latn-UZ" w:eastAsia="uz-Latn-UZ"/>
        </w:rPr>
      </w:pPr>
      <w:r w:rsidRPr="00240CEB">
        <w:rPr>
          <w:rFonts w:eastAsia="Times New Roman" w:cs="Times New Roman"/>
          <w:szCs w:val="28"/>
          <w:lang w:val="uz-Latn-UZ" w:eastAsia="uz-Latn-UZ"/>
        </w:rPr>
        <w:lastRenderedPageBreak/>
        <w:t>Hofiz Xorazmiy ilmni inson tafakkurini yorituvchi nur sifatida talqin qiladi. Ilm insonni nafaqat tashqi dunyo haqidagi bilimlar bilan boyitadi, balki uning ichki ruhiy olamini ham yuksaltiradi.</w:t>
      </w:r>
    </w:p>
    <w:p w:rsidR="00240CEB" w:rsidRPr="00240CEB" w:rsidRDefault="00240CEB" w:rsidP="00240CEB">
      <w:pPr>
        <w:spacing w:before="100" w:beforeAutospacing="1" w:after="100" w:afterAutospacing="1"/>
        <w:ind w:firstLine="567"/>
        <w:jc w:val="both"/>
        <w:outlineLvl w:val="2"/>
        <w:rPr>
          <w:rFonts w:eastAsia="Times New Roman" w:cs="Times New Roman"/>
          <w:b/>
          <w:bCs/>
          <w:szCs w:val="28"/>
          <w:lang w:val="uz-Latn-UZ" w:eastAsia="uz-Latn-UZ"/>
        </w:rPr>
      </w:pPr>
      <w:r w:rsidRPr="00240CEB">
        <w:rPr>
          <w:rFonts w:eastAsia="Times New Roman" w:cs="Times New Roman"/>
          <w:b/>
          <w:bCs/>
          <w:szCs w:val="28"/>
          <w:lang w:val="uz-Latn-UZ" w:eastAsia="uz-Latn-UZ"/>
        </w:rPr>
        <w:t>4. Tarbiya – shaxs kamolotining muhim omili</w:t>
      </w:r>
    </w:p>
    <w:p w:rsidR="00240CEB" w:rsidRPr="00240CEB" w:rsidRDefault="00240CEB" w:rsidP="00240CEB">
      <w:pPr>
        <w:spacing w:before="100" w:beforeAutospacing="1" w:after="100" w:afterAutospacing="1"/>
        <w:ind w:firstLine="567"/>
        <w:jc w:val="both"/>
        <w:rPr>
          <w:rFonts w:eastAsia="Times New Roman" w:cs="Times New Roman"/>
          <w:szCs w:val="28"/>
          <w:lang w:val="uz-Latn-UZ" w:eastAsia="uz-Latn-UZ"/>
        </w:rPr>
      </w:pPr>
      <w:r w:rsidRPr="00240CEB">
        <w:rPr>
          <w:rFonts w:eastAsia="Times New Roman" w:cs="Times New Roman"/>
          <w:szCs w:val="28"/>
          <w:lang w:val="uz-Latn-UZ" w:eastAsia="uz-Latn-UZ"/>
        </w:rPr>
        <w:t>Shoir ijodida tarbiya insonning ruhiy kamolot sari yetishish jarayoni sifatida talqin qilinadi. Tarbiya orqali inson sabr, sadoqat, mehnatsevarlik, fidoyilik kabi fazilatlarni egallaydi.</w:t>
      </w:r>
    </w:p>
    <w:p w:rsidR="00240CEB" w:rsidRPr="00240CEB" w:rsidRDefault="00240CEB" w:rsidP="00240CEB">
      <w:pPr>
        <w:spacing w:after="0"/>
        <w:ind w:firstLine="567"/>
        <w:jc w:val="both"/>
        <w:rPr>
          <w:rFonts w:eastAsia="Times New Roman" w:cs="Times New Roman"/>
          <w:szCs w:val="28"/>
          <w:lang w:val="uz-Latn-UZ" w:eastAsia="uz-Latn-UZ"/>
        </w:rPr>
      </w:pPr>
      <w:r w:rsidRPr="00240CEB">
        <w:rPr>
          <w:rFonts w:eastAsia="Times New Roman" w:cs="Times New Roman"/>
          <w:szCs w:val="28"/>
          <w:lang w:val="uz-Latn-UZ" w:eastAsia="uz-Latn-UZ"/>
        </w:rPr>
        <w:pict>
          <v:rect id="_x0000_i1114" style="width:0;height:1.5pt" o:hralign="center" o:hrstd="t" o:hr="t" fillcolor="#a0a0a0" stroked="f"/>
        </w:pict>
      </w:r>
    </w:p>
    <w:p w:rsidR="00240CEB" w:rsidRPr="00240CEB" w:rsidRDefault="00240CEB" w:rsidP="00240CEB">
      <w:pPr>
        <w:spacing w:before="100" w:beforeAutospacing="1" w:after="100" w:afterAutospacing="1"/>
        <w:ind w:firstLine="567"/>
        <w:jc w:val="both"/>
        <w:outlineLvl w:val="0"/>
        <w:rPr>
          <w:rFonts w:eastAsia="Times New Roman" w:cs="Times New Roman"/>
          <w:b/>
          <w:bCs/>
          <w:kern w:val="36"/>
          <w:szCs w:val="28"/>
          <w:lang w:val="uz-Latn-UZ" w:eastAsia="uz-Latn-UZ"/>
        </w:rPr>
      </w:pPr>
      <w:r w:rsidRPr="00240CEB">
        <w:rPr>
          <w:rFonts w:eastAsia="Times New Roman" w:cs="Times New Roman"/>
          <w:b/>
          <w:bCs/>
          <w:kern w:val="36"/>
          <w:szCs w:val="28"/>
          <w:lang w:val="uz-Latn-UZ" w:eastAsia="uz-Latn-UZ"/>
        </w:rPr>
        <w:t>3. EXAMPLE (MISOLLAR)</w:t>
      </w:r>
    </w:p>
    <w:p w:rsidR="00240CEB" w:rsidRPr="00240CEB" w:rsidRDefault="00240CEB" w:rsidP="00240CEB">
      <w:pPr>
        <w:spacing w:before="100" w:beforeAutospacing="1" w:after="100" w:afterAutospacing="1"/>
        <w:ind w:firstLine="567"/>
        <w:jc w:val="both"/>
        <w:rPr>
          <w:rFonts w:eastAsia="Times New Roman" w:cs="Times New Roman"/>
          <w:szCs w:val="28"/>
          <w:lang w:val="uz-Latn-UZ" w:eastAsia="uz-Latn-UZ"/>
        </w:rPr>
      </w:pPr>
      <w:r w:rsidRPr="00240CEB">
        <w:rPr>
          <w:rFonts w:eastAsia="Times New Roman" w:cs="Times New Roman"/>
          <w:szCs w:val="28"/>
          <w:lang w:val="uz-Latn-UZ" w:eastAsia="uz-Latn-UZ"/>
        </w:rPr>
        <w:t>Shoirning didaktik qarashlari uning g‘azallarida yorqin badiiy ifodasini topgan.</w:t>
      </w:r>
    </w:p>
    <w:p w:rsidR="00240CEB" w:rsidRPr="00240CEB" w:rsidRDefault="00240CEB" w:rsidP="00240CEB">
      <w:pPr>
        <w:spacing w:before="100" w:beforeAutospacing="1" w:after="100" w:afterAutospacing="1"/>
        <w:ind w:firstLine="567"/>
        <w:jc w:val="both"/>
        <w:outlineLvl w:val="2"/>
        <w:rPr>
          <w:rFonts w:eastAsia="Times New Roman" w:cs="Times New Roman"/>
          <w:b/>
          <w:bCs/>
          <w:szCs w:val="28"/>
          <w:lang w:val="uz-Latn-UZ" w:eastAsia="uz-Latn-UZ"/>
        </w:rPr>
      </w:pPr>
      <w:r w:rsidRPr="00240CEB">
        <w:rPr>
          <w:rFonts w:eastAsia="Times New Roman" w:cs="Times New Roman"/>
          <w:b/>
          <w:bCs/>
          <w:szCs w:val="28"/>
          <w:lang w:val="uz-Latn-UZ" w:eastAsia="uz-Latn-UZ"/>
        </w:rPr>
        <w:t>1-misol</w:t>
      </w:r>
    </w:p>
    <w:p w:rsidR="00240CEB" w:rsidRPr="00240CEB" w:rsidRDefault="00240CEB" w:rsidP="00240CEB">
      <w:pPr>
        <w:spacing w:before="100" w:beforeAutospacing="1" w:after="100" w:afterAutospacing="1"/>
        <w:jc w:val="center"/>
        <w:rPr>
          <w:rFonts w:eastAsia="Times New Roman" w:cs="Times New Roman"/>
          <w:i/>
          <w:szCs w:val="28"/>
          <w:lang w:val="uz-Latn-UZ" w:eastAsia="uz-Latn-UZ"/>
        </w:rPr>
      </w:pPr>
      <w:r w:rsidRPr="00240CEB">
        <w:rPr>
          <w:rFonts w:eastAsia="Times New Roman" w:cs="Times New Roman"/>
          <w:i/>
          <w:szCs w:val="28"/>
          <w:lang w:val="uz-Latn-UZ" w:eastAsia="uz-Latn-UZ"/>
        </w:rPr>
        <w:t>Aql birla ishqni bilmak erur amr-n mahol,</w:t>
      </w:r>
      <w:r w:rsidRPr="00240CEB">
        <w:rPr>
          <w:rFonts w:eastAsia="Times New Roman" w:cs="Times New Roman"/>
          <w:i/>
          <w:szCs w:val="28"/>
          <w:lang w:val="uz-Latn-UZ" w:eastAsia="uz-Latn-UZ"/>
        </w:rPr>
        <w:br/>
        <w:t>Tifl-i abjadxon erur bu yo‘lda aql-i pirnmiz.</w:t>
      </w:r>
    </w:p>
    <w:p w:rsidR="00240CEB" w:rsidRPr="00240CEB" w:rsidRDefault="00240CEB" w:rsidP="00240CEB">
      <w:pPr>
        <w:spacing w:before="100" w:beforeAutospacing="1" w:after="100" w:afterAutospacing="1"/>
        <w:ind w:firstLine="567"/>
        <w:jc w:val="both"/>
        <w:rPr>
          <w:rFonts w:eastAsia="Times New Roman" w:cs="Times New Roman"/>
          <w:szCs w:val="28"/>
          <w:lang w:val="uz-Latn-UZ" w:eastAsia="uz-Latn-UZ"/>
        </w:rPr>
      </w:pPr>
      <w:r w:rsidRPr="00240CEB">
        <w:rPr>
          <w:rFonts w:eastAsia="Times New Roman" w:cs="Times New Roman"/>
          <w:szCs w:val="28"/>
          <w:lang w:val="uz-Latn-UZ" w:eastAsia="uz-Latn-UZ"/>
        </w:rPr>
        <w:t>Mazkur baytda aql va ishq o‘rtasidagi murakkab munosabat badiiy tarzda ifodalangan. Shoir aqlni abjad o‘rganayotgan bola bilan qiyoslab, ishqning mohiyatini anglashda uning imkoniyatlari cheklanganligini ko‘rsatadi.</w:t>
      </w:r>
    </w:p>
    <w:p w:rsidR="00240CEB" w:rsidRPr="00240CEB" w:rsidRDefault="00240CEB" w:rsidP="00240CEB">
      <w:pPr>
        <w:spacing w:before="100" w:beforeAutospacing="1" w:after="100" w:afterAutospacing="1"/>
        <w:ind w:firstLine="567"/>
        <w:jc w:val="both"/>
        <w:rPr>
          <w:rFonts w:eastAsia="Times New Roman" w:cs="Times New Roman"/>
          <w:szCs w:val="28"/>
          <w:lang w:val="uz-Latn-UZ" w:eastAsia="uz-Latn-UZ"/>
        </w:rPr>
      </w:pPr>
      <w:r w:rsidRPr="00240CEB">
        <w:rPr>
          <w:rFonts w:eastAsia="Times New Roman" w:cs="Times New Roman"/>
          <w:szCs w:val="28"/>
          <w:lang w:val="uz-Latn-UZ" w:eastAsia="uz-Latn-UZ"/>
        </w:rPr>
        <w:t>Bu orqali shoir ishqni insonni ma’naviy yuksalishga yetaklovchi kuch sifatida talqin qiladi.</w:t>
      </w:r>
    </w:p>
    <w:p w:rsidR="00240CEB" w:rsidRPr="00240CEB" w:rsidRDefault="00240CEB" w:rsidP="00240CEB">
      <w:pPr>
        <w:spacing w:after="0"/>
        <w:ind w:firstLine="567"/>
        <w:jc w:val="both"/>
        <w:rPr>
          <w:rFonts w:eastAsia="Times New Roman" w:cs="Times New Roman"/>
          <w:szCs w:val="28"/>
          <w:lang w:val="uz-Latn-UZ" w:eastAsia="uz-Latn-UZ"/>
        </w:rPr>
      </w:pPr>
      <w:r w:rsidRPr="00240CEB">
        <w:rPr>
          <w:rFonts w:eastAsia="Times New Roman" w:cs="Times New Roman"/>
          <w:szCs w:val="28"/>
          <w:lang w:val="uz-Latn-UZ" w:eastAsia="uz-Latn-UZ"/>
        </w:rPr>
        <w:pict>
          <v:rect id="_x0000_i1115" style="width:0;height:1.5pt" o:hralign="center" o:hrstd="t" o:hr="t" fillcolor="#a0a0a0" stroked="f"/>
        </w:pict>
      </w:r>
    </w:p>
    <w:p w:rsidR="00240CEB" w:rsidRPr="00240CEB" w:rsidRDefault="00240CEB" w:rsidP="00240CEB">
      <w:pPr>
        <w:spacing w:before="100" w:beforeAutospacing="1" w:after="100" w:afterAutospacing="1"/>
        <w:ind w:firstLine="567"/>
        <w:jc w:val="both"/>
        <w:outlineLvl w:val="2"/>
        <w:rPr>
          <w:rFonts w:eastAsia="Times New Roman" w:cs="Times New Roman"/>
          <w:b/>
          <w:bCs/>
          <w:szCs w:val="28"/>
          <w:lang w:val="uz-Latn-UZ" w:eastAsia="uz-Latn-UZ"/>
        </w:rPr>
      </w:pPr>
      <w:r w:rsidRPr="00240CEB">
        <w:rPr>
          <w:rFonts w:eastAsia="Times New Roman" w:cs="Times New Roman"/>
          <w:b/>
          <w:bCs/>
          <w:szCs w:val="28"/>
          <w:lang w:val="uz-Latn-UZ" w:eastAsia="uz-Latn-UZ"/>
        </w:rPr>
        <w:t>2-misol</w:t>
      </w:r>
    </w:p>
    <w:p w:rsidR="00240CEB" w:rsidRPr="00240CEB" w:rsidRDefault="00240CEB" w:rsidP="00240CEB">
      <w:pPr>
        <w:spacing w:before="100" w:beforeAutospacing="1" w:after="100" w:afterAutospacing="1"/>
        <w:jc w:val="center"/>
        <w:rPr>
          <w:rFonts w:eastAsia="Times New Roman" w:cs="Times New Roman"/>
          <w:i/>
          <w:szCs w:val="28"/>
          <w:lang w:val="uz-Latn-UZ" w:eastAsia="uz-Latn-UZ"/>
        </w:rPr>
      </w:pPr>
      <w:r w:rsidRPr="00240CEB">
        <w:rPr>
          <w:rFonts w:eastAsia="Times New Roman" w:cs="Times New Roman"/>
          <w:i/>
          <w:szCs w:val="28"/>
          <w:lang w:val="uz-Latn-UZ" w:eastAsia="uz-Latn-UZ"/>
        </w:rPr>
        <w:t>Savod-i xatt-i siyohinda nur izdar esang,</w:t>
      </w:r>
      <w:r w:rsidRPr="00240CEB">
        <w:rPr>
          <w:rFonts w:eastAsia="Times New Roman" w:cs="Times New Roman"/>
          <w:i/>
          <w:szCs w:val="28"/>
          <w:lang w:val="uz-Latn-UZ" w:eastAsia="uz-Latn-UZ"/>
        </w:rPr>
        <w:br/>
        <w:t>Yuzini yod qila shomni sahar qilg‘il.</w:t>
      </w:r>
    </w:p>
    <w:p w:rsidR="00240CEB" w:rsidRPr="00240CEB" w:rsidRDefault="00240CEB" w:rsidP="00240CEB">
      <w:pPr>
        <w:spacing w:before="100" w:beforeAutospacing="1" w:after="100" w:afterAutospacing="1"/>
        <w:ind w:firstLine="567"/>
        <w:jc w:val="both"/>
        <w:rPr>
          <w:rFonts w:eastAsia="Times New Roman" w:cs="Times New Roman"/>
          <w:szCs w:val="28"/>
          <w:lang w:val="uz-Latn-UZ" w:eastAsia="uz-Latn-UZ"/>
        </w:rPr>
      </w:pPr>
      <w:r w:rsidRPr="00240CEB">
        <w:rPr>
          <w:rFonts w:eastAsia="Times New Roman" w:cs="Times New Roman"/>
          <w:szCs w:val="28"/>
          <w:lang w:val="uz-Latn-UZ" w:eastAsia="uz-Latn-UZ"/>
        </w:rPr>
        <w:t>Ushbu baytda ilm olish jarayoni va uning inson kamolotidagi ahamiyati ifodalangan. Shoir ilm izlash jarayonida inson mehnatsevar, sabrli va matonatli bo‘lishi lozimligini ta’kidlaydi.</w:t>
      </w:r>
    </w:p>
    <w:p w:rsidR="00240CEB" w:rsidRPr="00240CEB" w:rsidRDefault="00240CEB" w:rsidP="00240CEB">
      <w:pPr>
        <w:spacing w:before="100" w:beforeAutospacing="1" w:after="100" w:afterAutospacing="1"/>
        <w:ind w:firstLine="567"/>
        <w:jc w:val="both"/>
        <w:rPr>
          <w:rFonts w:eastAsia="Times New Roman" w:cs="Times New Roman"/>
          <w:szCs w:val="28"/>
          <w:lang w:val="uz-Latn-UZ" w:eastAsia="uz-Latn-UZ"/>
        </w:rPr>
      </w:pPr>
      <w:r w:rsidRPr="00240CEB">
        <w:rPr>
          <w:rFonts w:eastAsia="Times New Roman" w:cs="Times New Roman"/>
          <w:szCs w:val="28"/>
          <w:lang w:val="uz-Latn-UZ" w:eastAsia="uz-Latn-UZ"/>
        </w:rPr>
        <w:t>Tunlarni tongga aylantirib ilm olish obrazini qo‘llash orqali shoir ilm yo‘lida fidoyilik zarurligini ko‘rsatadi.</w:t>
      </w:r>
    </w:p>
    <w:p w:rsidR="00240CEB" w:rsidRPr="00240CEB" w:rsidRDefault="00240CEB" w:rsidP="00240CEB">
      <w:pPr>
        <w:spacing w:after="0"/>
        <w:ind w:firstLine="567"/>
        <w:jc w:val="both"/>
        <w:rPr>
          <w:rFonts w:eastAsia="Times New Roman" w:cs="Times New Roman"/>
          <w:szCs w:val="28"/>
          <w:lang w:val="uz-Latn-UZ" w:eastAsia="uz-Latn-UZ"/>
        </w:rPr>
      </w:pPr>
      <w:r w:rsidRPr="00240CEB">
        <w:rPr>
          <w:rFonts w:eastAsia="Times New Roman" w:cs="Times New Roman"/>
          <w:szCs w:val="28"/>
          <w:lang w:val="uz-Latn-UZ" w:eastAsia="uz-Latn-UZ"/>
        </w:rPr>
        <w:pict>
          <v:rect id="_x0000_i1116" style="width:0;height:1.5pt" o:hralign="center" o:hrstd="t" o:hr="t" fillcolor="#a0a0a0" stroked="f"/>
        </w:pict>
      </w:r>
    </w:p>
    <w:p w:rsidR="00240CEB" w:rsidRPr="00240CEB" w:rsidRDefault="00240CEB" w:rsidP="00240CEB">
      <w:pPr>
        <w:spacing w:before="100" w:beforeAutospacing="1" w:after="100" w:afterAutospacing="1"/>
        <w:ind w:firstLine="567"/>
        <w:jc w:val="both"/>
        <w:outlineLvl w:val="2"/>
        <w:rPr>
          <w:rFonts w:eastAsia="Times New Roman" w:cs="Times New Roman"/>
          <w:b/>
          <w:bCs/>
          <w:szCs w:val="28"/>
          <w:lang w:val="uz-Latn-UZ" w:eastAsia="uz-Latn-UZ"/>
        </w:rPr>
      </w:pPr>
      <w:r w:rsidRPr="00240CEB">
        <w:rPr>
          <w:rFonts w:eastAsia="Times New Roman" w:cs="Times New Roman"/>
          <w:b/>
          <w:bCs/>
          <w:szCs w:val="28"/>
          <w:lang w:val="uz-Latn-UZ" w:eastAsia="uz-Latn-UZ"/>
        </w:rPr>
        <w:t>3-misol</w:t>
      </w:r>
    </w:p>
    <w:p w:rsidR="00240CEB" w:rsidRPr="00240CEB" w:rsidRDefault="00240CEB" w:rsidP="00240CEB">
      <w:pPr>
        <w:spacing w:before="100" w:beforeAutospacing="1" w:after="100" w:afterAutospacing="1"/>
        <w:jc w:val="center"/>
        <w:rPr>
          <w:rFonts w:eastAsia="Times New Roman" w:cs="Times New Roman"/>
          <w:i/>
          <w:szCs w:val="28"/>
          <w:lang w:val="uz-Latn-UZ" w:eastAsia="uz-Latn-UZ"/>
        </w:rPr>
      </w:pPr>
      <w:r w:rsidRPr="00240CEB">
        <w:rPr>
          <w:rFonts w:eastAsia="Times New Roman" w:cs="Times New Roman"/>
          <w:i/>
          <w:szCs w:val="28"/>
          <w:lang w:val="uz-Latn-UZ" w:eastAsia="uz-Latn-UZ"/>
        </w:rPr>
        <w:lastRenderedPageBreak/>
        <w:t>Muhabbat mulkina kim bo‘lsa vosil,</w:t>
      </w:r>
      <w:r w:rsidRPr="00240CEB">
        <w:rPr>
          <w:rFonts w:eastAsia="Times New Roman" w:cs="Times New Roman"/>
          <w:i/>
          <w:szCs w:val="28"/>
          <w:lang w:val="uz-Latn-UZ" w:eastAsia="uz-Latn-UZ"/>
        </w:rPr>
        <w:br/>
        <w:t>Bo‘lur ul ma’no ichra pir-i komil.</w:t>
      </w:r>
    </w:p>
    <w:p w:rsidR="00240CEB" w:rsidRPr="00240CEB" w:rsidRDefault="00240CEB" w:rsidP="00240CEB">
      <w:pPr>
        <w:spacing w:before="100" w:beforeAutospacing="1" w:after="100" w:afterAutospacing="1"/>
        <w:ind w:firstLine="567"/>
        <w:jc w:val="both"/>
        <w:rPr>
          <w:rFonts w:eastAsia="Times New Roman" w:cs="Times New Roman"/>
          <w:szCs w:val="28"/>
          <w:lang w:val="uz-Latn-UZ" w:eastAsia="uz-Latn-UZ"/>
        </w:rPr>
      </w:pPr>
      <w:r w:rsidRPr="00240CEB">
        <w:rPr>
          <w:rFonts w:eastAsia="Times New Roman" w:cs="Times New Roman"/>
          <w:szCs w:val="28"/>
          <w:lang w:val="uz-Latn-UZ" w:eastAsia="uz-Latn-UZ"/>
        </w:rPr>
        <w:t>Bu baytda ishq va komillik o‘rtasidagi uzviy bog‘liqlik aks etgan. Shoir fikricha, muhabbat haqiqatini anglab yetgan insongina ruhiy kamolotga erishadi va komil shaxs darajasiga ko‘tariladi.</w:t>
      </w:r>
    </w:p>
    <w:p w:rsidR="00240CEB" w:rsidRPr="00240CEB" w:rsidRDefault="00240CEB" w:rsidP="00240CEB">
      <w:pPr>
        <w:spacing w:before="100" w:beforeAutospacing="1" w:after="100" w:afterAutospacing="1"/>
        <w:ind w:firstLine="567"/>
        <w:jc w:val="both"/>
        <w:rPr>
          <w:rFonts w:eastAsia="Times New Roman" w:cs="Times New Roman"/>
          <w:szCs w:val="28"/>
          <w:lang w:val="uz-Latn-UZ" w:eastAsia="uz-Latn-UZ"/>
        </w:rPr>
      </w:pPr>
      <w:r w:rsidRPr="00240CEB">
        <w:rPr>
          <w:rFonts w:eastAsia="Times New Roman" w:cs="Times New Roman"/>
          <w:szCs w:val="28"/>
          <w:lang w:val="uz-Latn-UZ" w:eastAsia="uz-Latn-UZ"/>
        </w:rPr>
        <w:t>Tasavvufiy talqinga ko‘ra, pir-i komil – bu o‘z nafsini yenggan, haqiqatni anglagan va ma’naviy yetuklikka erishgan insondir.</w:t>
      </w:r>
    </w:p>
    <w:p w:rsidR="00240CEB" w:rsidRPr="00240CEB" w:rsidRDefault="00240CEB" w:rsidP="00240CEB">
      <w:pPr>
        <w:spacing w:after="0"/>
        <w:ind w:firstLine="567"/>
        <w:jc w:val="both"/>
        <w:rPr>
          <w:rFonts w:eastAsia="Times New Roman" w:cs="Times New Roman"/>
          <w:szCs w:val="28"/>
          <w:lang w:val="uz-Latn-UZ" w:eastAsia="uz-Latn-UZ"/>
        </w:rPr>
      </w:pPr>
      <w:r w:rsidRPr="00240CEB">
        <w:rPr>
          <w:rFonts w:eastAsia="Times New Roman" w:cs="Times New Roman"/>
          <w:szCs w:val="28"/>
          <w:lang w:val="uz-Latn-UZ" w:eastAsia="uz-Latn-UZ"/>
        </w:rPr>
        <w:pict>
          <v:rect id="_x0000_i1117" style="width:0;height:1.5pt" o:hralign="center" o:hrstd="t" o:hr="t" fillcolor="#a0a0a0" stroked="f"/>
        </w:pict>
      </w:r>
    </w:p>
    <w:p w:rsidR="00240CEB" w:rsidRPr="00240CEB" w:rsidRDefault="00240CEB" w:rsidP="00240CEB">
      <w:pPr>
        <w:spacing w:before="100" w:beforeAutospacing="1" w:after="100" w:afterAutospacing="1"/>
        <w:ind w:firstLine="567"/>
        <w:jc w:val="both"/>
        <w:outlineLvl w:val="0"/>
        <w:rPr>
          <w:rFonts w:eastAsia="Times New Roman" w:cs="Times New Roman"/>
          <w:b/>
          <w:bCs/>
          <w:kern w:val="36"/>
          <w:szCs w:val="28"/>
          <w:lang w:val="uz-Latn-UZ" w:eastAsia="uz-Latn-UZ"/>
        </w:rPr>
      </w:pPr>
      <w:r w:rsidRPr="00240CEB">
        <w:rPr>
          <w:rFonts w:eastAsia="Times New Roman" w:cs="Times New Roman"/>
          <w:b/>
          <w:bCs/>
          <w:kern w:val="36"/>
          <w:szCs w:val="28"/>
          <w:lang w:val="uz-Latn-UZ" w:eastAsia="uz-Latn-UZ"/>
        </w:rPr>
        <w:t>4. SUMMARY (XULOSA)</w:t>
      </w:r>
    </w:p>
    <w:p w:rsidR="00240CEB" w:rsidRPr="00240CEB" w:rsidRDefault="00240CEB" w:rsidP="00240CEB">
      <w:pPr>
        <w:spacing w:before="100" w:beforeAutospacing="1" w:after="100" w:afterAutospacing="1"/>
        <w:ind w:firstLine="567"/>
        <w:jc w:val="both"/>
        <w:rPr>
          <w:rFonts w:eastAsia="Times New Roman" w:cs="Times New Roman"/>
          <w:szCs w:val="28"/>
          <w:lang w:val="uz-Latn-UZ" w:eastAsia="uz-Latn-UZ"/>
        </w:rPr>
      </w:pPr>
      <w:r w:rsidRPr="00240CEB">
        <w:rPr>
          <w:rFonts w:eastAsia="Times New Roman" w:cs="Times New Roman"/>
          <w:szCs w:val="28"/>
          <w:lang w:val="uz-Latn-UZ" w:eastAsia="uz-Latn-UZ"/>
        </w:rPr>
        <w:t>PRESS metodiga asoslangan tahlil shuni ko‘rsatadiki, Hofiz Xorazmiy ijodida shaxs kamoloti masalasi chuqur falsafiy va didaktik mazmun kasb etadi.</w:t>
      </w:r>
    </w:p>
    <w:p w:rsidR="00240CEB" w:rsidRPr="00240CEB" w:rsidRDefault="00240CEB" w:rsidP="00240CEB">
      <w:pPr>
        <w:spacing w:before="100" w:beforeAutospacing="1" w:after="100" w:afterAutospacing="1"/>
        <w:ind w:firstLine="567"/>
        <w:jc w:val="both"/>
        <w:rPr>
          <w:rFonts w:eastAsia="Times New Roman" w:cs="Times New Roman"/>
          <w:szCs w:val="28"/>
          <w:lang w:val="uz-Latn-UZ" w:eastAsia="uz-Latn-UZ"/>
        </w:rPr>
      </w:pPr>
      <w:r w:rsidRPr="00240CEB">
        <w:rPr>
          <w:rFonts w:eastAsia="Times New Roman" w:cs="Times New Roman"/>
          <w:szCs w:val="28"/>
          <w:lang w:val="uz-Latn-UZ" w:eastAsia="uz-Latn-UZ"/>
        </w:rPr>
        <w:t>Shoir insonning ma’naviy yuksalishini quyidagi omillar bilan bog‘laydi:</w:t>
      </w:r>
    </w:p>
    <w:p w:rsidR="00240CEB" w:rsidRPr="00240CEB" w:rsidRDefault="00240CEB" w:rsidP="00240CEB">
      <w:pPr>
        <w:numPr>
          <w:ilvl w:val="0"/>
          <w:numId w:val="2"/>
        </w:numPr>
        <w:spacing w:before="100" w:beforeAutospacing="1" w:after="100" w:afterAutospacing="1"/>
        <w:ind w:firstLine="567"/>
        <w:jc w:val="both"/>
        <w:rPr>
          <w:rFonts w:eastAsia="Times New Roman" w:cs="Times New Roman"/>
          <w:szCs w:val="28"/>
          <w:lang w:val="uz-Latn-UZ" w:eastAsia="uz-Latn-UZ"/>
        </w:rPr>
      </w:pPr>
      <w:r w:rsidRPr="00240CEB">
        <w:rPr>
          <w:rFonts w:eastAsia="Times New Roman" w:cs="Times New Roman"/>
          <w:szCs w:val="28"/>
          <w:lang w:val="uz-Latn-UZ" w:eastAsia="uz-Latn-UZ"/>
        </w:rPr>
        <w:t>ishq</w:t>
      </w:r>
    </w:p>
    <w:p w:rsidR="00240CEB" w:rsidRPr="00240CEB" w:rsidRDefault="00240CEB" w:rsidP="00240CEB">
      <w:pPr>
        <w:numPr>
          <w:ilvl w:val="0"/>
          <w:numId w:val="2"/>
        </w:numPr>
        <w:spacing w:before="100" w:beforeAutospacing="1" w:after="100" w:afterAutospacing="1"/>
        <w:ind w:firstLine="567"/>
        <w:jc w:val="both"/>
        <w:rPr>
          <w:rFonts w:eastAsia="Times New Roman" w:cs="Times New Roman"/>
          <w:szCs w:val="28"/>
          <w:lang w:val="uz-Latn-UZ" w:eastAsia="uz-Latn-UZ"/>
        </w:rPr>
      </w:pPr>
      <w:r w:rsidRPr="00240CEB">
        <w:rPr>
          <w:rFonts w:eastAsia="Times New Roman" w:cs="Times New Roman"/>
          <w:szCs w:val="28"/>
          <w:lang w:val="uz-Latn-UZ" w:eastAsia="uz-Latn-UZ"/>
        </w:rPr>
        <w:t>aql</w:t>
      </w:r>
    </w:p>
    <w:p w:rsidR="00240CEB" w:rsidRPr="00240CEB" w:rsidRDefault="00240CEB" w:rsidP="00240CEB">
      <w:pPr>
        <w:numPr>
          <w:ilvl w:val="0"/>
          <w:numId w:val="2"/>
        </w:numPr>
        <w:spacing w:before="100" w:beforeAutospacing="1" w:after="100" w:afterAutospacing="1"/>
        <w:ind w:firstLine="567"/>
        <w:jc w:val="both"/>
        <w:rPr>
          <w:rFonts w:eastAsia="Times New Roman" w:cs="Times New Roman"/>
          <w:szCs w:val="28"/>
          <w:lang w:val="uz-Latn-UZ" w:eastAsia="uz-Latn-UZ"/>
        </w:rPr>
      </w:pPr>
      <w:r w:rsidRPr="00240CEB">
        <w:rPr>
          <w:rFonts w:eastAsia="Times New Roman" w:cs="Times New Roman"/>
          <w:szCs w:val="28"/>
          <w:lang w:val="uz-Latn-UZ" w:eastAsia="uz-Latn-UZ"/>
        </w:rPr>
        <w:t>ilm</w:t>
      </w:r>
    </w:p>
    <w:p w:rsidR="00240CEB" w:rsidRPr="00240CEB" w:rsidRDefault="00240CEB" w:rsidP="00240CEB">
      <w:pPr>
        <w:numPr>
          <w:ilvl w:val="0"/>
          <w:numId w:val="2"/>
        </w:numPr>
        <w:spacing w:before="100" w:beforeAutospacing="1" w:after="100" w:afterAutospacing="1"/>
        <w:ind w:firstLine="567"/>
        <w:jc w:val="both"/>
        <w:rPr>
          <w:rFonts w:eastAsia="Times New Roman" w:cs="Times New Roman"/>
          <w:szCs w:val="28"/>
          <w:lang w:val="uz-Latn-UZ" w:eastAsia="uz-Latn-UZ"/>
        </w:rPr>
      </w:pPr>
      <w:r w:rsidRPr="00240CEB">
        <w:rPr>
          <w:rFonts w:eastAsia="Times New Roman" w:cs="Times New Roman"/>
          <w:szCs w:val="28"/>
          <w:lang w:val="uz-Latn-UZ" w:eastAsia="uz-Latn-UZ"/>
        </w:rPr>
        <w:t>tarbiya</w:t>
      </w:r>
    </w:p>
    <w:p w:rsidR="00240CEB" w:rsidRPr="00240CEB" w:rsidRDefault="00240CEB" w:rsidP="00240CEB">
      <w:pPr>
        <w:numPr>
          <w:ilvl w:val="0"/>
          <w:numId w:val="2"/>
        </w:numPr>
        <w:spacing w:before="100" w:beforeAutospacing="1" w:after="100" w:afterAutospacing="1"/>
        <w:ind w:firstLine="567"/>
        <w:jc w:val="both"/>
        <w:rPr>
          <w:rFonts w:eastAsia="Times New Roman" w:cs="Times New Roman"/>
          <w:szCs w:val="28"/>
          <w:lang w:val="uz-Latn-UZ" w:eastAsia="uz-Latn-UZ"/>
        </w:rPr>
      </w:pPr>
      <w:r w:rsidRPr="00240CEB">
        <w:rPr>
          <w:rFonts w:eastAsia="Times New Roman" w:cs="Times New Roman"/>
          <w:szCs w:val="28"/>
          <w:lang w:val="uz-Latn-UZ" w:eastAsia="uz-Latn-UZ"/>
        </w:rPr>
        <w:t>sabr va fidoyilik</w:t>
      </w:r>
    </w:p>
    <w:p w:rsidR="00240CEB" w:rsidRPr="00240CEB" w:rsidRDefault="00240CEB" w:rsidP="00240CEB">
      <w:pPr>
        <w:spacing w:before="100" w:beforeAutospacing="1" w:after="100" w:afterAutospacing="1"/>
        <w:ind w:firstLine="567"/>
        <w:jc w:val="both"/>
        <w:rPr>
          <w:rFonts w:eastAsia="Times New Roman" w:cs="Times New Roman"/>
          <w:szCs w:val="28"/>
          <w:lang w:val="uz-Latn-UZ" w:eastAsia="uz-Latn-UZ"/>
        </w:rPr>
      </w:pPr>
      <w:r w:rsidRPr="00240CEB">
        <w:rPr>
          <w:rFonts w:eastAsia="Times New Roman" w:cs="Times New Roman"/>
          <w:szCs w:val="28"/>
          <w:lang w:val="uz-Latn-UZ" w:eastAsia="uz-Latn-UZ"/>
        </w:rPr>
        <w:t>Ushbu tushunchalar o‘zaro uyg‘un holda insonni komillikka yetaklaydigan asosiy vositalar sifatida talqin etiladi.</w:t>
      </w:r>
    </w:p>
    <w:p w:rsidR="00240CEB" w:rsidRPr="00240CEB" w:rsidRDefault="00240CEB" w:rsidP="00240CEB">
      <w:pPr>
        <w:spacing w:before="100" w:beforeAutospacing="1" w:after="100" w:afterAutospacing="1"/>
        <w:ind w:firstLine="567"/>
        <w:jc w:val="both"/>
        <w:rPr>
          <w:rFonts w:eastAsia="Times New Roman" w:cs="Times New Roman"/>
          <w:szCs w:val="28"/>
          <w:lang w:val="uz-Latn-UZ" w:eastAsia="uz-Latn-UZ"/>
        </w:rPr>
      </w:pPr>
      <w:r w:rsidRPr="00240CEB">
        <w:rPr>
          <w:rFonts w:eastAsia="Times New Roman" w:cs="Times New Roman"/>
          <w:szCs w:val="28"/>
          <w:lang w:val="uz-Latn-UZ" w:eastAsia="uz-Latn-UZ"/>
        </w:rPr>
        <w:t>Hofiz Xorazmiy she’riy merosi bugungi kunda ham pedagogik jihatdan muhim ahamiyat kasb etadi. Chunki unda ilgari surilgan g‘oyalar yosh avlodni ma’naviy yetuk, bilimli va axloqiy barkamol shaxs sifatida tarbiyalashga xizmat qiladi.</w:t>
      </w:r>
    </w:p>
    <w:p w:rsidR="00240CEB" w:rsidRPr="00240CEB" w:rsidRDefault="00240CEB" w:rsidP="00240CEB">
      <w:pPr>
        <w:spacing w:before="100" w:beforeAutospacing="1" w:after="100" w:afterAutospacing="1"/>
        <w:ind w:firstLine="567"/>
        <w:jc w:val="both"/>
        <w:rPr>
          <w:rFonts w:eastAsia="Times New Roman" w:cs="Times New Roman"/>
          <w:szCs w:val="28"/>
          <w:lang w:val="uz-Latn-UZ" w:eastAsia="uz-Latn-UZ"/>
        </w:rPr>
      </w:pPr>
      <w:r w:rsidRPr="00240CEB">
        <w:rPr>
          <w:rFonts w:eastAsia="Times New Roman" w:cs="Times New Roman"/>
          <w:szCs w:val="28"/>
          <w:lang w:val="uz-Latn-UZ" w:eastAsia="uz-Latn-UZ"/>
        </w:rPr>
        <w:t>Shu jihatdan, shoir ijodidagi didaktik qarashlarni zamonaviy ta’lim jarayonida qo‘llash pedagogik samaradorlikni oshirishga yordam beradi.</w:t>
      </w:r>
    </w:p>
    <w:p w:rsidR="00240CEB" w:rsidRPr="00240CEB" w:rsidRDefault="00240CEB" w:rsidP="00240CEB">
      <w:pPr>
        <w:spacing w:after="0"/>
        <w:ind w:firstLine="567"/>
        <w:jc w:val="both"/>
        <w:rPr>
          <w:rFonts w:eastAsia="Times New Roman" w:cs="Times New Roman"/>
          <w:szCs w:val="28"/>
          <w:lang w:val="uz-Latn-UZ" w:eastAsia="uz-Latn-UZ"/>
        </w:rPr>
      </w:pPr>
      <w:r w:rsidRPr="00240CEB">
        <w:rPr>
          <w:rFonts w:eastAsia="Times New Roman" w:cs="Times New Roman"/>
          <w:szCs w:val="28"/>
          <w:lang w:val="uz-Latn-UZ" w:eastAsia="uz-Latn-UZ"/>
        </w:rPr>
        <w:pict>
          <v:rect id="_x0000_i1118" style="width:0;height:1.5pt" o:hralign="center" o:hrstd="t" o:hr="t" fillcolor="#a0a0a0" stroked="f"/>
        </w:pict>
      </w:r>
    </w:p>
    <w:p w:rsidR="00813AE9" w:rsidRPr="00240CEB" w:rsidRDefault="000A0211" w:rsidP="00240CEB">
      <w:pPr>
        <w:ind w:firstLine="567"/>
        <w:jc w:val="both"/>
        <w:rPr>
          <w:rFonts w:cs="Times New Roman"/>
          <w:szCs w:val="28"/>
        </w:rPr>
      </w:pPr>
    </w:p>
    <w:sectPr w:rsidR="00813AE9" w:rsidRPr="00240C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043C46"/>
    <w:multiLevelType w:val="multilevel"/>
    <w:tmpl w:val="F3D83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C662CA7"/>
    <w:multiLevelType w:val="multilevel"/>
    <w:tmpl w:val="7166E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0E67DC"/>
    <w:multiLevelType w:val="multilevel"/>
    <w:tmpl w:val="6E2AD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DA0"/>
    <w:rsid w:val="000A0211"/>
    <w:rsid w:val="001E4B52"/>
    <w:rsid w:val="00240CEB"/>
    <w:rsid w:val="00334DA0"/>
    <w:rsid w:val="004D1189"/>
    <w:rsid w:val="005F6F3B"/>
    <w:rsid w:val="0076117A"/>
    <w:rsid w:val="00862959"/>
    <w:rsid w:val="009E4576"/>
    <w:rsid w:val="00A5115A"/>
    <w:rsid w:val="00B417D9"/>
    <w:rsid w:val="00BF691A"/>
    <w:rsid w:val="00C8308C"/>
    <w:rsid w:val="00C96CC5"/>
    <w:rsid w:val="00F27731"/>
    <w:rsid w:val="00FD44A9"/>
  </w:rsids>
  <m:mathPr>
    <m:mathFont m:val="Cambria Math"/>
    <m:brkBin m:val="before"/>
    <m:brkBinSub m:val="--"/>
    <m:smallFrac m:val="0"/>
    <m:dispDef/>
    <m:lMargin m:val="0"/>
    <m:rMargin m:val="0"/>
    <m:defJc m:val="centerGroup"/>
    <m:wrapIndent m:val="1440"/>
    <m:intLim m:val="subSup"/>
    <m:naryLim m:val="undOvr"/>
  </m:mathPr>
  <w:themeFontLang w:val="uz-Latn-U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8E32E"/>
  <w15:chartTrackingRefBased/>
  <w15:docId w15:val="{2200248B-3D4C-49FF-A07A-05A5D45C6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lang w:val="uz-Latn-U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4DA0"/>
    <w:pPr>
      <w:spacing w:line="240" w:lineRule="auto"/>
    </w:pPr>
    <w:rPr>
      <w:rFonts w:cstheme="minorBidi"/>
      <w:szCs w:val="22"/>
      <w:lang w:val="ru-RU"/>
    </w:rPr>
  </w:style>
  <w:style w:type="paragraph" w:styleId="1">
    <w:name w:val="heading 1"/>
    <w:basedOn w:val="a"/>
    <w:link w:val="10"/>
    <w:uiPriority w:val="9"/>
    <w:qFormat/>
    <w:rsid w:val="00240CEB"/>
    <w:pPr>
      <w:spacing w:before="100" w:beforeAutospacing="1" w:after="100" w:afterAutospacing="1"/>
      <w:outlineLvl w:val="0"/>
    </w:pPr>
    <w:rPr>
      <w:rFonts w:eastAsia="Times New Roman" w:cs="Times New Roman"/>
      <w:b/>
      <w:bCs/>
      <w:kern w:val="36"/>
      <w:sz w:val="48"/>
      <w:szCs w:val="48"/>
      <w:lang w:val="uz-Latn-UZ" w:eastAsia="uz-Latn-UZ"/>
    </w:rPr>
  </w:style>
  <w:style w:type="paragraph" w:styleId="2">
    <w:name w:val="heading 2"/>
    <w:basedOn w:val="a"/>
    <w:link w:val="20"/>
    <w:uiPriority w:val="9"/>
    <w:qFormat/>
    <w:rsid w:val="00240CEB"/>
    <w:pPr>
      <w:spacing w:before="100" w:beforeAutospacing="1" w:after="100" w:afterAutospacing="1"/>
      <w:outlineLvl w:val="1"/>
    </w:pPr>
    <w:rPr>
      <w:rFonts w:eastAsia="Times New Roman" w:cs="Times New Roman"/>
      <w:b/>
      <w:bCs/>
      <w:sz w:val="36"/>
      <w:szCs w:val="36"/>
      <w:lang w:val="uz-Latn-UZ" w:eastAsia="uz-Latn-UZ"/>
    </w:rPr>
  </w:style>
  <w:style w:type="paragraph" w:styleId="3">
    <w:name w:val="heading 3"/>
    <w:basedOn w:val="a"/>
    <w:link w:val="30"/>
    <w:uiPriority w:val="9"/>
    <w:qFormat/>
    <w:rsid w:val="00240CEB"/>
    <w:pPr>
      <w:spacing w:before="100" w:beforeAutospacing="1" w:after="100" w:afterAutospacing="1"/>
      <w:outlineLvl w:val="2"/>
    </w:pPr>
    <w:rPr>
      <w:rFonts w:eastAsia="Times New Roman" w:cs="Times New Roman"/>
      <w:b/>
      <w:bCs/>
      <w:sz w:val="27"/>
      <w:szCs w:val="27"/>
      <w:lang w:val="uz-Latn-UZ" w:eastAsia="uz-Latn-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34DA0"/>
    <w:pPr>
      <w:spacing w:after="0" w:line="240" w:lineRule="auto"/>
    </w:pPr>
    <w:rPr>
      <w:rFonts w:asciiTheme="minorHAnsi" w:hAnsiTheme="minorHAnsi" w:cstheme="minorBidi"/>
      <w:sz w:val="22"/>
      <w:szCs w:val="22"/>
      <w:lang w:val="ru-RU"/>
    </w:rPr>
  </w:style>
  <w:style w:type="paragraph" w:customStyle="1" w:styleId="leading-8">
    <w:name w:val="leading-8"/>
    <w:basedOn w:val="a"/>
    <w:rsid w:val="00334DA0"/>
    <w:pPr>
      <w:spacing w:before="100" w:beforeAutospacing="1" w:after="100" w:afterAutospacing="1"/>
    </w:pPr>
    <w:rPr>
      <w:rFonts w:eastAsia="Times New Roman" w:cs="Times New Roman"/>
      <w:sz w:val="24"/>
      <w:szCs w:val="24"/>
      <w:lang w:val="uz-Latn-UZ" w:eastAsia="uz-Latn-UZ"/>
    </w:rPr>
  </w:style>
  <w:style w:type="character" w:customStyle="1" w:styleId="10">
    <w:name w:val="Заголовок 1 Знак"/>
    <w:basedOn w:val="a0"/>
    <w:link w:val="1"/>
    <w:uiPriority w:val="9"/>
    <w:rsid w:val="00240CEB"/>
    <w:rPr>
      <w:rFonts w:eastAsia="Times New Roman"/>
      <w:b/>
      <w:bCs/>
      <w:kern w:val="36"/>
      <w:sz w:val="48"/>
      <w:szCs w:val="48"/>
      <w:lang w:eastAsia="uz-Latn-UZ"/>
    </w:rPr>
  </w:style>
  <w:style w:type="character" w:customStyle="1" w:styleId="20">
    <w:name w:val="Заголовок 2 Знак"/>
    <w:basedOn w:val="a0"/>
    <w:link w:val="2"/>
    <w:uiPriority w:val="9"/>
    <w:rsid w:val="00240CEB"/>
    <w:rPr>
      <w:rFonts w:eastAsia="Times New Roman"/>
      <w:b/>
      <w:bCs/>
      <w:sz w:val="36"/>
      <w:szCs w:val="36"/>
      <w:lang w:eastAsia="uz-Latn-UZ"/>
    </w:rPr>
  </w:style>
  <w:style w:type="character" w:customStyle="1" w:styleId="30">
    <w:name w:val="Заголовок 3 Знак"/>
    <w:basedOn w:val="a0"/>
    <w:link w:val="3"/>
    <w:uiPriority w:val="9"/>
    <w:rsid w:val="00240CEB"/>
    <w:rPr>
      <w:rFonts w:eastAsia="Times New Roman"/>
      <w:b/>
      <w:bCs/>
      <w:sz w:val="27"/>
      <w:szCs w:val="27"/>
      <w:lang w:eastAsia="uz-Latn-UZ"/>
    </w:rPr>
  </w:style>
  <w:style w:type="paragraph" w:styleId="a4">
    <w:name w:val="Normal (Web)"/>
    <w:basedOn w:val="a"/>
    <w:uiPriority w:val="99"/>
    <w:semiHidden/>
    <w:unhideWhenUsed/>
    <w:rsid w:val="00240CEB"/>
    <w:pPr>
      <w:spacing w:before="100" w:beforeAutospacing="1" w:after="100" w:afterAutospacing="1"/>
    </w:pPr>
    <w:rPr>
      <w:rFonts w:eastAsia="Times New Roman" w:cs="Times New Roman"/>
      <w:sz w:val="24"/>
      <w:szCs w:val="24"/>
      <w:lang w:val="uz-Latn-UZ" w:eastAsia="uz-Latn-UZ"/>
    </w:rPr>
  </w:style>
  <w:style w:type="character" w:styleId="a5">
    <w:name w:val="Strong"/>
    <w:basedOn w:val="a0"/>
    <w:uiPriority w:val="22"/>
    <w:qFormat/>
    <w:rsid w:val="00240C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7218671">
      <w:bodyDiv w:val="1"/>
      <w:marLeft w:val="0"/>
      <w:marRight w:val="0"/>
      <w:marTop w:val="0"/>
      <w:marBottom w:val="0"/>
      <w:divBdr>
        <w:top w:val="none" w:sz="0" w:space="0" w:color="auto"/>
        <w:left w:val="none" w:sz="0" w:space="0" w:color="auto"/>
        <w:bottom w:val="none" w:sz="0" w:space="0" w:color="auto"/>
        <w:right w:val="none" w:sz="0" w:space="0" w:color="auto"/>
      </w:divBdr>
    </w:div>
    <w:div w:id="712198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diagramQuickStyle" Target="diagrams/quickStyle2.xml"/><Relationship Id="rId3" Type="http://schemas.openxmlformats.org/officeDocument/2006/relationships/styles" Target="styles.xml"/><Relationship Id="rId7" Type="http://schemas.openxmlformats.org/officeDocument/2006/relationships/diagramLayout" Target="diagrams/layout1.xml"/><Relationship Id="rId12" Type="http://schemas.openxmlformats.org/officeDocument/2006/relationships/diagramLayout" Target="diagrams/layout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diagramData" Target="diagrams/data1.xml"/><Relationship Id="rId11" Type="http://schemas.openxmlformats.org/officeDocument/2006/relationships/diagramData" Target="diagrams/data2.xml"/><Relationship Id="rId5" Type="http://schemas.openxmlformats.org/officeDocument/2006/relationships/webSettings" Target="webSettings.xml"/><Relationship Id="rId15" Type="http://schemas.microsoft.com/office/2007/relationships/diagramDrawing" Target="diagrams/drawing2.xml"/><Relationship Id="rId10"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diagramColors" Target="diagrams/colors1.xml"/><Relationship Id="rId14" Type="http://schemas.openxmlformats.org/officeDocument/2006/relationships/diagramColors" Target="diagrams/colors2.xml"/></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404A543-238C-43ED-BD48-B82FBC53E9D7}" type="doc">
      <dgm:prSet loTypeId="urn:microsoft.com/office/officeart/2008/layout/VerticalCurvedList" loCatId="list" qsTypeId="urn:microsoft.com/office/officeart/2005/8/quickstyle/simple1" qsCatId="simple" csTypeId="urn:microsoft.com/office/officeart/2005/8/colors/colorful4" csCatId="colorful" phldr="1"/>
      <dgm:spPr/>
      <dgm:t>
        <a:bodyPr/>
        <a:lstStyle/>
        <a:p>
          <a:endParaRPr lang="ru-RU"/>
        </a:p>
      </dgm:t>
    </dgm:pt>
    <dgm:pt modelId="{ECB4732A-9391-4150-A8FE-65F45470A0D4}">
      <dgm:prSet phldrT="[Текст]"/>
      <dgm:spPr/>
      <dgm:t>
        <a:bodyPr/>
        <a:lstStyle/>
        <a:p>
          <a:r>
            <a:rPr lang="uz-Latn-UZ" b="1"/>
            <a:t>P – Position (pozitsiya)</a:t>
          </a:r>
          <a:r>
            <a:rPr lang="uz-Latn-UZ"/>
            <a:t> – muallif yoki tadqiqotchining asosiy fikri yoki pozitsiyasi bayon qilinadi;</a:t>
          </a:r>
          <a:endParaRPr lang="ru-RU"/>
        </a:p>
      </dgm:t>
    </dgm:pt>
    <dgm:pt modelId="{0C9AFA45-74EF-4686-91E2-73D866C6E1E3}" type="parTrans" cxnId="{7CC5CAD6-74E0-4D4D-820A-2CBB898B3E8C}">
      <dgm:prSet/>
      <dgm:spPr/>
      <dgm:t>
        <a:bodyPr/>
        <a:lstStyle/>
        <a:p>
          <a:endParaRPr lang="ru-RU"/>
        </a:p>
      </dgm:t>
    </dgm:pt>
    <dgm:pt modelId="{8223757A-1388-4677-BFAB-35BEE9D2FB03}" type="sibTrans" cxnId="{7CC5CAD6-74E0-4D4D-820A-2CBB898B3E8C}">
      <dgm:prSet/>
      <dgm:spPr/>
      <dgm:t>
        <a:bodyPr/>
        <a:lstStyle/>
        <a:p>
          <a:endParaRPr lang="ru-RU"/>
        </a:p>
      </dgm:t>
    </dgm:pt>
    <dgm:pt modelId="{F5844940-1500-40D1-A634-85ECCD0AA022}">
      <dgm:prSet phldrT="[Текст]"/>
      <dgm:spPr/>
      <dgm:t>
        <a:bodyPr/>
        <a:lstStyle/>
        <a:p>
          <a:r>
            <a:rPr lang="uz-Latn-UZ" b="1"/>
            <a:t>R – Reason (sabab)</a:t>
          </a:r>
          <a:r>
            <a:rPr lang="uz-Latn-UZ"/>
            <a:t> – ushbu pozitsiyani asoslovchi ilmiy dalillar va sabablar keltiriladi;</a:t>
          </a:r>
          <a:endParaRPr lang="ru-RU"/>
        </a:p>
      </dgm:t>
    </dgm:pt>
    <dgm:pt modelId="{8EB9AC4A-2361-4ABF-9B5A-EEADC4A0C4B4}" type="parTrans" cxnId="{B10E91AD-F2B8-4BC1-9E67-FB4D3D8DF7FE}">
      <dgm:prSet/>
      <dgm:spPr/>
      <dgm:t>
        <a:bodyPr/>
        <a:lstStyle/>
        <a:p>
          <a:endParaRPr lang="ru-RU"/>
        </a:p>
      </dgm:t>
    </dgm:pt>
    <dgm:pt modelId="{FD6F8DB2-5AD1-4383-BEF5-468D2D6AF49B}" type="sibTrans" cxnId="{B10E91AD-F2B8-4BC1-9E67-FB4D3D8DF7FE}">
      <dgm:prSet/>
      <dgm:spPr/>
      <dgm:t>
        <a:bodyPr/>
        <a:lstStyle/>
        <a:p>
          <a:endParaRPr lang="ru-RU"/>
        </a:p>
      </dgm:t>
    </dgm:pt>
    <dgm:pt modelId="{6EBFD617-2001-41CF-B0B9-74E237BCFEC2}">
      <dgm:prSet phldrT="[Текст]"/>
      <dgm:spPr/>
      <dgm:t>
        <a:bodyPr/>
        <a:lstStyle/>
        <a:p>
          <a:r>
            <a:rPr lang="uz-Latn-UZ" b="1"/>
            <a:t>E – Example (misol)</a:t>
          </a:r>
          <a:r>
            <a:rPr lang="uz-Latn-UZ"/>
            <a:t> – nazariy fikrlar badiiy yoki ilmiy misollar orqali dalillanadi;</a:t>
          </a:r>
          <a:endParaRPr lang="ru-RU"/>
        </a:p>
      </dgm:t>
    </dgm:pt>
    <dgm:pt modelId="{07BE5A24-3A5E-44BC-A70F-D83395F0FF00}" type="parTrans" cxnId="{8D39ACA2-62BF-4932-9EC9-AE49815EC218}">
      <dgm:prSet/>
      <dgm:spPr/>
      <dgm:t>
        <a:bodyPr/>
        <a:lstStyle/>
        <a:p>
          <a:endParaRPr lang="ru-RU"/>
        </a:p>
      </dgm:t>
    </dgm:pt>
    <dgm:pt modelId="{A31ED877-0876-416E-8BF5-A2FE2B09C67E}" type="sibTrans" cxnId="{8D39ACA2-62BF-4932-9EC9-AE49815EC218}">
      <dgm:prSet/>
      <dgm:spPr/>
      <dgm:t>
        <a:bodyPr/>
        <a:lstStyle/>
        <a:p>
          <a:endParaRPr lang="ru-RU"/>
        </a:p>
      </dgm:t>
    </dgm:pt>
    <dgm:pt modelId="{52E474CF-B473-4FAB-A845-2E99A345A232}">
      <dgm:prSet phldrT="[Текст]"/>
      <dgm:spPr/>
      <dgm:t>
        <a:bodyPr/>
        <a:lstStyle/>
        <a:p>
          <a:r>
            <a:rPr lang="uz-Latn-UZ" b="1"/>
            <a:t>S – Summary (xulosa)</a:t>
          </a:r>
          <a:r>
            <a:rPr lang="uz-Latn-UZ"/>
            <a:t> – keltirilgan fikrlar umumlashtirilib yakuniy ilmiy xulosa chiqariladi.</a:t>
          </a:r>
          <a:endParaRPr lang="ru-RU"/>
        </a:p>
      </dgm:t>
    </dgm:pt>
    <dgm:pt modelId="{CA694B5F-CE7E-4005-82C3-1FC07457E568}" type="parTrans" cxnId="{F31F45D4-504E-467D-B474-D09F4686C0BA}">
      <dgm:prSet/>
      <dgm:spPr/>
      <dgm:t>
        <a:bodyPr/>
        <a:lstStyle/>
        <a:p>
          <a:endParaRPr lang="ru-RU"/>
        </a:p>
      </dgm:t>
    </dgm:pt>
    <dgm:pt modelId="{BEC21BFC-B1A7-4E44-82F2-D8C632B742AA}" type="sibTrans" cxnId="{F31F45D4-504E-467D-B474-D09F4686C0BA}">
      <dgm:prSet/>
      <dgm:spPr/>
      <dgm:t>
        <a:bodyPr/>
        <a:lstStyle/>
        <a:p>
          <a:endParaRPr lang="ru-RU"/>
        </a:p>
      </dgm:t>
    </dgm:pt>
    <dgm:pt modelId="{706DC727-4C14-456C-8C07-56740FE4FD36}" type="pres">
      <dgm:prSet presAssocID="{5404A543-238C-43ED-BD48-B82FBC53E9D7}" presName="Name0" presStyleCnt="0">
        <dgm:presLayoutVars>
          <dgm:chMax val="7"/>
          <dgm:chPref val="7"/>
          <dgm:dir/>
        </dgm:presLayoutVars>
      </dgm:prSet>
      <dgm:spPr/>
    </dgm:pt>
    <dgm:pt modelId="{AB8595FF-123A-48E0-8C16-1E1D18567930}" type="pres">
      <dgm:prSet presAssocID="{5404A543-238C-43ED-BD48-B82FBC53E9D7}" presName="Name1" presStyleCnt="0"/>
      <dgm:spPr/>
    </dgm:pt>
    <dgm:pt modelId="{383611AA-B6F4-435C-98E4-CF73CF75D1AC}" type="pres">
      <dgm:prSet presAssocID="{5404A543-238C-43ED-BD48-B82FBC53E9D7}" presName="cycle" presStyleCnt="0"/>
      <dgm:spPr/>
    </dgm:pt>
    <dgm:pt modelId="{78B669D2-A6CF-4B11-8407-DCF39823966D}" type="pres">
      <dgm:prSet presAssocID="{5404A543-238C-43ED-BD48-B82FBC53E9D7}" presName="srcNode" presStyleLbl="node1" presStyleIdx="0" presStyleCnt="4"/>
      <dgm:spPr/>
    </dgm:pt>
    <dgm:pt modelId="{98F11384-645A-47FC-BA01-A85192250891}" type="pres">
      <dgm:prSet presAssocID="{5404A543-238C-43ED-BD48-B82FBC53E9D7}" presName="conn" presStyleLbl="parChTrans1D2" presStyleIdx="0" presStyleCnt="1"/>
      <dgm:spPr/>
    </dgm:pt>
    <dgm:pt modelId="{69177F22-2CC0-4302-9832-3D699BF9D327}" type="pres">
      <dgm:prSet presAssocID="{5404A543-238C-43ED-BD48-B82FBC53E9D7}" presName="extraNode" presStyleLbl="node1" presStyleIdx="0" presStyleCnt="4"/>
      <dgm:spPr/>
    </dgm:pt>
    <dgm:pt modelId="{88566EBB-CF1D-4E9F-AC24-44613FC3CEB1}" type="pres">
      <dgm:prSet presAssocID="{5404A543-238C-43ED-BD48-B82FBC53E9D7}" presName="dstNode" presStyleLbl="node1" presStyleIdx="0" presStyleCnt="4"/>
      <dgm:spPr/>
    </dgm:pt>
    <dgm:pt modelId="{BB579948-4F65-45C0-8D84-2E4D6A6DF30E}" type="pres">
      <dgm:prSet presAssocID="{ECB4732A-9391-4150-A8FE-65F45470A0D4}" presName="text_1" presStyleLbl="node1" presStyleIdx="0" presStyleCnt="4">
        <dgm:presLayoutVars>
          <dgm:bulletEnabled val="1"/>
        </dgm:presLayoutVars>
      </dgm:prSet>
      <dgm:spPr/>
      <dgm:t>
        <a:bodyPr/>
        <a:lstStyle/>
        <a:p>
          <a:endParaRPr lang="ru-RU"/>
        </a:p>
      </dgm:t>
    </dgm:pt>
    <dgm:pt modelId="{907C1E8E-F6AA-4275-B754-D7ADC2714D89}" type="pres">
      <dgm:prSet presAssocID="{ECB4732A-9391-4150-A8FE-65F45470A0D4}" presName="accent_1" presStyleCnt="0"/>
      <dgm:spPr/>
    </dgm:pt>
    <dgm:pt modelId="{0F0443A3-F2CA-43B3-A881-48EC8DDB46B5}" type="pres">
      <dgm:prSet presAssocID="{ECB4732A-9391-4150-A8FE-65F45470A0D4}" presName="accentRepeatNode" presStyleLbl="solidFgAcc1" presStyleIdx="0" presStyleCnt="4"/>
      <dgm:spPr/>
    </dgm:pt>
    <dgm:pt modelId="{F471475A-C137-44AF-A895-DCDA81126B91}" type="pres">
      <dgm:prSet presAssocID="{F5844940-1500-40D1-A634-85ECCD0AA022}" presName="text_2" presStyleLbl="node1" presStyleIdx="1" presStyleCnt="4">
        <dgm:presLayoutVars>
          <dgm:bulletEnabled val="1"/>
        </dgm:presLayoutVars>
      </dgm:prSet>
      <dgm:spPr/>
      <dgm:t>
        <a:bodyPr/>
        <a:lstStyle/>
        <a:p>
          <a:endParaRPr lang="ru-RU"/>
        </a:p>
      </dgm:t>
    </dgm:pt>
    <dgm:pt modelId="{2ED78F92-8B45-48F2-9A46-E6B0248BB6FD}" type="pres">
      <dgm:prSet presAssocID="{F5844940-1500-40D1-A634-85ECCD0AA022}" presName="accent_2" presStyleCnt="0"/>
      <dgm:spPr/>
    </dgm:pt>
    <dgm:pt modelId="{599A7E2F-0D92-4016-9B04-5359FD2AEA7E}" type="pres">
      <dgm:prSet presAssocID="{F5844940-1500-40D1-A634-85ECCD0AA022}" presName="accentRepeatNode" presStyleLbl="solidFgAcc1" presStyleIdx="1" presStyleCnt="4"/>
      <dgm:spPr/>
    </dgm:pt>
    <dgm:pt modelId="{9F2028EE-1B61-4D00-A682-22510DE362D1}" type="pres">
      <dgm:prSet presAssocID="{6EBFD617-2001-41CF-B0B9-74E237BCFEC2}" presName="text_3" presStyleLbl="node1" presStyleIdx="2" presStyleCnt="4">
        <dgm:presLayoutVars>
          <dgm:bulletEnabled val="1"/>
        </dgm:presLayoutVars>
      </dgm:prSet>
      <dgm:spPr/>
      <dgm:t>
        <a:bodyPr/>
        <a:lstStyle/>
        <a:p>
          <a:endParaRPr lang="ru-RU"/>
        </a:p>
      </dgm:t>
    </dgm:pt>
    <dgm:pt modelId="{1FF1D3F0-20B5-487F-9C23-3BBD950EEBC2}" type="pres">
      <dgm:prSet presAssocID="{6EBFD617-2001-41CF-B0B9-74E237BCFEC2}" presName="accent_3" presStyleCnt="0"/>
      <dgm:spPr/>
    </dgm:pt>
    <dgm:pt modelId="{A71F72FC-8AA4-4197-86D7-DFE8214D4EC1}" type="pres">
      <dgm:prSet presAssocID="{6EBFD617-2001-41CF-B0B9-74E237BCFEC2}" presName="accentRepeatNode" presStyleLbl="solidFgAcc1" presStyleIdx="2" presStyleCnt="4"/>
      <dgm:spPr/>
    </dgm:pt>
    <dgm:pt modelId="{994C377F-348B-4EB2-BAF0-072214716B15}" type="pres">
      <dgm:prSet presAssocID="{52E474CF-B473-4FAB-A845-2E99A345A232}" presName="text_4" presStyleLbl="node1" presStyleIdx="3" presStyleCnt="4">
        <dgm:presLayoutVars>
          <dgm:bulletEnabled val="1"/>
        </dgm:presLayoutVars>
      </dgm:prSet>
      <dgm:spPr/>
      <dgm:t>
        <a:bodyPr/>
        <a:lstStyle/>
        <a:p>
          <a:endParaRPr lang="ru-RU"/>
        </a:p>
      </dgm:t>
    </dgm:pt>
    <dgm:pt modelId="{9CE45DFD-7054-4679-8CD0-65E6C9544F8A}" type="pres">
      <dgm:prSet presAssocID="{52E474CF-B473-4FAB-A845-2E99A345A232}" presName="accent_4" presStyleCnt="0"/>
      <dgm:spPr/>
    </dgm:pt>
    <dgm:pt modelId="{B6BBE4EA-4E82-4978-A45B-DB0665647435}" type="pres">
      <dgm:prSet presAssocID="{52E474CF-B473-4FAB-A845-2E99A345A232}" presName="accentRepeatNode" presStyleLbl="solidFgAcc1" presStyleIdx="3" presStyleCnt="4"/>
      <dgm:spPr/>
    </dgm:pt>
  </dgm:ptLst>
  <dgm:cxnLst>
    <dgm:cxn modelId="{2FB0B1CC-6641-42FE-BB8F-9AC5902160A3}" type="presOf" srcId="{6EBFD617-2001-41CF-B0B9-74E237BCFEC2}" destId="{9F2028EE-1B61-4D00-A682-22510DE362D1}" srcOrd="0" destOrd="0" presId="urn:microsoft.com/office/officeart/2008/layout/VerticalCurvedList"/>
    <dgm:cxn modelId="{57434166-6248-43EE-B006-7A6DDBCA54D3}" type="presOf" srcId="{5404A543-238C-43ED-BD48-B82FBC53E9D7}" destId="{706DC727-4C14-456C-8C07-56740FE4FD36}" srcOrd="0" destOrd="0" presId="urn:microsoft.com/office/officeart/2008/layout/VerticalCurvedList"/>
    <dgm:cxn modelId="{F31F45D4-504E-467D-B474-D09F4686C0BA}" srcId="{5404A543-238C-43ED-BD48-B82FBC53E9D7}" destId="{52E474CF-B473-4FAB-A845-2E99A345A232}" srcOrd="3" destOrd="0" parTransId="{CA694B5F-CE7E-4005-82C3-1FC07457E568}" sibTransId="{BEC21BFC-B1A7-4E44-82F2-D8C632B742AA}"/>
    <dgm:cxn modelId="{DF02B966-682A-410C-9406-656A51601050}" type="presOf" srcId="{F5844940-1500-40D1-A634-85ECCD0AA022}" destId="{F471475A-C137-44AF-A895-DCDA81126B91}" srcOrd="0" destOrd="0" presId="urn:microsoft.com/office/officeart/2008/layout/VerticalCurvedList"/>
    <dgm:cxn modelId="{CAF2F808-93EB-4678-ACC3-D1D9A53BE4F4}" type="presOf" srcId="{ECB4732A-9391-4150-A8FE-65F45470A0D4}" destId="{BB579948-4F65-45C0-8D84-2E4D6A6DF30E}" srcOrd="0" destOrd="0" presId="urn:microsoft.com/office/officeart/2008/layout/VerticalCurvedList"/>
    <dgm:cxn modelId="{1B81ED1B-78A9-4694-AC67-4DA7418F7665}" type="presOf" srcId="{52E474CF-B473-4FAB-A845-2E99A345A232}" destId="{994C377F-348B-4EB2-BAF0-072214716B15}" srcOrd="0" destOrd="0" presId="urn:microsoft.com/office/officeart/2008/layout/VerticalCurvedList"/>
    <dgm:cxn modelId="{B10E91AD-F2B8-4BC1-9E67-FB4D3D8DF7FE}" srcId="{5404A543-238C-43ED-BD48-B82FBC53E9D7}" destId="{F5844940-1500-40D1-A634-85ECCD0AA022}" srcOrd="1" destOrd="0" parTransId="{8EB9AC4A-2361-4ABF-9B5A-EEADC4A0C4B4}" sibTransId="{FD6F8DB2-5AD1-4383-BEF5-468D2D6AF49B}"/>
    <dgm:cxn modelId="{BF2EDB05-3D4F-4837-B851-9C5C6AD9E30D}" type="presOf" srcId="{8223757A-1388-4677-BFAB-35BEE9D2FB03}" destId="{98F11384-645A-47FC-BA01-A85192250891}" srcOrd="0" destOrd="0" presId="urn:microsoft.com/office/officeart/2008/layout/VerticalCurvedList"/>
    <dgm:cxn modelId="{8D39ACA2-62BF-4932-9EC9-AE49815EC218}" srcId="{5404A543-238C-43ED-BD48-B82FBC53E9D7}" destId="{6EBFD617-2001-41CF-B0B9-74E237BCFEC2}" srcOrd="2" destOrd="0" parTransId="{07BE5A24-3A5E-44BC-A70F-D83395F0FF00}" sibTransId="{A31ED877-0876-416E-8BF5-A2FE2B09C67E}"/>
    <dgm:cxn modelId="{7CC5CAD6-74E0-4D4D-820A-2CBB898B3E8C}" srcId="{5404A543-238C-43ED-BD48-B82FBC53E9D7}" destId="{ECB4732A-9391-4150-A8FE-65F45470A0D4}" srcOrd="0" destOrd="0" parTransId="{0C9AFA45-74EF-4686-91E2-73D866C6E1E3}" sibTransId="{8223757A-1388-4677-BFAB-35BEE9D2FB03}"/>
    <dgm:cxn modelId="{C6D86681-0BEC-41FB-BBD8-C5120FB737E1}" type="presParOf" srcId="{706DC727-4C14-456C-8C07-56740FE4FD36}" destId="{AB8595FF-123A-48E0-8C16-1E1D18567930}" srcOrd="0" destOrd="0" presId="urn:microsoft.com/office/officeart/2008/layout/VerticalCurvedList"/>
    <dgm:cxn modelId="{85B82ED1-0F81-4C2F-A3EC-ED01518796B9}" type="presParOf" srcId="{AB8595FF-123A-48E0-8C16-1E1D18567930}" destId="{383611AA-B6F4-435C-98E4-CF73CF75D1AC}" srcOrd="0" destOrd="0" presId="urn:microsoft.com/office/officeart/2008/layout/VerticalCurvedList"/>
    <dgm:cxn modelId="{4E4D5E9E-9278-4DF3-BD60-C6E746CF3397}" type="presParOf" srcId="{383611AA-B6F4-435C-98E4-CF73CF75D1AC}" destId="{78B669D2-A6CF-4B11-8407-DCF39823966D}" srcOrd="0" destOrd="0" presId="urn:microsoft.com/office/officeart/2008/layout/VerticalCurvedList"/>
    <dgm:cxn modelId="{4178DF9B-B63E-42CF-A0E0-849DE438E006}" type="presParOf" srcId="{383611AA-B6F4-435C-98E4-CF73CF75D1AC}" destId="{98F11384-645A-47FC-BA01-A85192250891}" srcOrd="1" destOrd="0" presId="urn:microsoft.com/office/officeart/2008/layout/VerticalCurvedList"/>
    <dgm:cxn modelId="{DE65E7BC-8D5E-4CFC-BC32-706A01AF4D6B}" type="presParOf" srcId="{383611AA-B6F4-435C-98E4-CF73CF75D1AC}" destId="{69177F22-2CC0-4302-9832-3D699BF9D327}" srcOrd="2" destOrd="0" presId="urn:microsoft.com/office/officeart/2008/layout/VerticalCurvedList"/>
    <dgm:cxn modelId="{606A77E7-19F2-41D6-AB96-87E51F374683}" type="presParOf" srcId="{383611AA-B6F4-435C-98E4-CF73CF75D1AC}" destId="{88566EBB-CF1D-4E9F-AC24-44613FC3CEB1}" srcOrd="3" destOrd="0" presId="urn:microsoft.com/office/officeart/2008/layout/VerticalCurvedList"/>
    <dgm:cxn modelId="{4A3D085E-AD69-402B-B634-38A329C26257}" type="presParOf" srcId="{AB8595FF-123A-48E0-8C16-1E1D18567930}" destId="{BB579948-4F65-45C0-8D84-2E4D6A6DF30E}" srcOrd="1" destOrd="0" presId="urn:microsoft.com/office/officeart/2008/layout/VerticalCurvedList"/>
    <dgm:cxn modelId="{1A20664D-FB0A-490A-850A-1A635DEEBEA7}" type="presParOf" srcId="{AB8595FF-123A-48E0-8C16-1E1D18567930}" destId="{907C1E8E-F6AA-4275-B754-D7ADC2714D89}" srcOrd="2" destOrd="0" presId="urn:microsoft.com/office/officeart/2008/layout/VerticalCurvedList"/>
    <dgm:cxn modelId="{20CC5675-866B-48F5-8157-23DC2643D8C1}" type="presParOf" srcId="{907C1E8E-F6AA-4275-B754-D7ADC2714D89}" destId="{0F0443A3-F2CA-43B3-A881-48EC8DDB46B5}" srcOrd="0" destOrd="0" presId="urn:microsoft.com/office/officeart/2008/layout/VerticalCurvedList"/>
    <dgm:cxn modelId="{6C97D228-FBA9-432E-8E44-38A6CAE836DA}" type="presParOf" srcId="{AB8595FF-123A-48E0-8C16-1E1D18567930}" destId="{F471475A-C137-44AF-A895-DCDA81126B91}" srcOrd="3" destOrd="0" presId="urn:microsoft.com/office/officeart/2008/layout/VerticalCurvedList"/>
    <dgm:cxn modelId="{1DE62CC7-2309-4DA4-A32A-D5A0F0238FAC}" type="presParOf" srcId="{AB8595FF-123A-48E0-8C16-1E1D18567930}" destId="{2ED78F92-8B45-48F2-9A46-E6B0248BB6FD}" srcOrd="4" destOrd="0" presId="urn:microsoft.com/office/officeart/2008/layout/VerticalCurvedList"/>
    <dgm:cxn modelId="{1E31F810-6D26-4C5C-91DB-437757E78C88}" type="presParOf" srcId="{2ED78F92-8B45-48F2-9A46-E6B0248BB6FD}" destId="{599A7E2F-0D92-4016-9B04-5359FD2AEA7E}" srcOrd="0" destOrd="0" presId="urn:microsoft.com/office/officeart/2008/layout/VerticalCurvedList"/>
    <dgm:cxn modelId="{DC844F32-A8DF-413C-90F3-C5B816C0284B}" type="presParOf" srcId="{AB8595FF-123A-48E0-8C16-1E1D18567930}" destId="{9F2028EE-1B61-4D00-A682-22510DE362D1}" srcOrd="5" destOrd="0" presId="urn:microsoft.com/office/officeart/2008/layout/VerticalCurvedList"/>
    <dgm:cxn modelId="{8BDD1896-BE23-4D2A-8E56-3A58BB08D412}" type="presParOf" srcId="{AB8595FF-123A-48E0-8C16-1E1D18567930}" destId="{1FF1D3F0-20B5-487F-9C23-3BBD950EEBC2}" srcOrd="6" destOrd="0" presId="urn:microsoft.com/office/officeart/2008/layout/VerticalCurvedList"/>
    <dgm:cxn modelId="{F71B6D91-9F58-4DE5-985E-1214EE39F618}" type="presParOf" srcId="{1FF1D3F0-20B5-487F-9C23-3BBD950EEBC2}" destId="{A71F72FC-8AA4-4197-86D7-DFE8214D4EC1}" srcOrd="0" destOrd="0" presId="urn:microsoft.com/office/officeart/2008/layout/VerticalCurvedList"/>
    <dgm:cxn modelId="{6E80FB40-34F3-4FE0-B3EB-58E542E383EE}" type="presParOf" srcId="{AB8595FF-123A-48E0-8C16-1E1D18567930}" destId="{994C377F-348B-4EB2-BAF0-072214716B15}" srcOrd="7" destOrd="0" presId="urn:microsoft.com/office/officeart/2008/layout/VerticalCurvedList"/>
    <dgm:cxn modelId="{0C9DAF27-43D5-4021-87A3-21D8887C37DE}" type="presParOf" srcId="{AB8595FF-123A-48E0-8C16-1E1D18567930}" destId="{9CE45DFD-7054-4679-8CD0-65E6C9544F8A}" srcOrd="8" destOrd="0" presId="urn:microsoft.com/office/officeart/2008/layout/VerticalCurvedList"/>
    <dgm:cxn modelId="{DD3D247F-0128-4DA6-A43A-AD19BEF42A8A}" type="presParOf" srcId="{9CE45DFD-7054-4679-8CD0-65E6C9544F8A}" destId="{B6BBE4EA-4E82-4978-A45B-DB0665647435}" srcOrd="0" destOrd="0" presId="urn:microsoft.com/office/officeart/2008/layout/VerticalCurvedList"/>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B841E3E-8063-42DD-B499-FC5BAF8999D8}" type="doc">
      <dgm:prSet loTypeId="urn:microsoft.com/office/officeart/2005/8/layout/vProcess5" loCatId="process" qsTypeId="urn:microsoft.com/office/officeart/2005/8/quickstyle/simple1" qsCatId="simple" csTypeId="urn:microsoft.com/office/officeart/2005/8/colors/colorful4" csCatId="colorful" phldr="1"/>
      <dgm:spPr/>
      <dgm:t>
        <a:bodyPr/>
        <a:lstStyle/>
        <a:p>
          <a:endParaRPr lang="ru-RU"/>
        </a:p>
      </dgm:t>
    </dgm:pt>
    <dgm:pt modelId="{72042317-C12A-42C2-9B8C-BB0C620AD302}">
      <dgm:prSet phldrT="[Текст]" custT="1"/>
      <dgm:spPr/>
      <dgm:t>
        <a:bodyPr/>
        <a:lstStyle/>
        <a:p>
          <a:pPr algn="just"/>
          <a:r>
            <a:rPr lang="uz-Latn-UZ" sz="1300" b="1"/>
            <a:t>P – Position (pozitsiya)</a:t>
          </a:r>
          <a:r>
            <a:rPr lang="uz-Latn-UZ" sz="1300"/>
            <a:t> – Hofiz Xorazmiy ijodida shaxs kamoloti masalasi ishq, aql, ilm va tarbiya kabi tushunchalar orqali talqin etilib, insonning ma’naviy yetuklikka erishishi ana shu omillarning uyg‘unligi orqali yuzaga kelishi ta’kidlanadi.</a:t>
          </a:r>
          <a:endParaRPr lang="ru-RU" sz="1300"/>
        </a:p>
      </dgm:t>
    </dgm:pt>
    <dgm:pt modelId="{5ACA0477-769C-490C-AD17-C1E523270779}" type="parTrans" cxnId="{ABC4A2D3-F623-4A06-9A6B-B1FB1EA644C7}">
      <dgm:prSet/>
      <dgm:spPr/>
      <dgm:t>
        <a:bodyPr/>
        <a:lstStyle/>
        <a:p>
          <a:endParaRPr lang="ru-RU" sz="1300"/>
        </a:p>
      </dgm:t>
    </dgm:pt>
    <dgm:pt modelId="{1046F903-BBA4-40BD-8E4E-21217BEF9506}" type="sibTrans" cxnId="{ABC4A2D3-F623-4A06-9A6B-B1FB1EA644C7}">
      <dgm:prSet custT="1"/>
      <dgm:spPr/>
      <dgm:t>
        <a:bodyPr/>
        <a:lstStyle/>
        <a:p>
          <a:endParaRPr lang="ru-RU" sz="1300"/>
        </a:p>
      </dgm:t>
    </dgm:pt>
    <dgm:pt modelId="{B9FD5B9D-3F54-4005-9BDC-8E684F2B7B07}">
      <dgm:prSet phldrT="[Текст]" custT="1"/>
      <dgm:spPr/>
      <dgm:t>
        <a:bodyPr/>
        <a:lstStyle/>
        <a:p>
          <a:pPr algn="just"/>
          <a:r>
            <a:rPr lang="uz-Latn-UZ" sz="1300" b="1"/>
            <a:t>E – Example (misol)</a:t>
          </a:r>
          <a:r>
            <a:rPr lang="uz-Latn-UZ" sz="1300"/>
            <a:t> – Shoirning didaktik qarashlari uning g‘azallarida yorqin badiiy ifodasini topgan!</a:t>
          </a:r>
        </a:p>
        <a:p>
          <a:pPr algn="ctr"/>
          <a:r>
            <a:rPr lang="uz-Latn-UZ" sz="1300"/>
            <a:t>(Kamida uchta misol keltiriladi)</a:t>
          </a:r>
          <a:endParaRPr lang="ru-RU" sz="1300"/>
        </a:p>
      </dgm:t>
    </dgm:pt>
    <dgm:pt modelId="{BB88D989-3635-4FEE-92CE-6C9C0DA174CF}" type="parTrans" cxnId="{7352D16B-6D56-4938-8965-4EDE6A5218C7}">
      <dgm:prSet/>
      <dgm:spPr/>
      <dgm:t>
        <a:bodyPr/>
        <a:lstStyle/>
        <a:p>
          <a:endParaRPr lang="ru-RU" sz="1300"/>
        </a:p>
      </dgm:t>
    </dgm:pt>
    <dgm:pt modelId="{7033DFF3-E7BD-4B1C-9A6A-94F9EED555F7}" type="sibTrans" cxnId="{7352D16B-6D56-4938-8965-4EDE6A5218C7}">
      <dgm:prSet custT="1"/>
      <dgm:spPr/>
      <dgm:t>
        <a:bodyPr/>
        <a:lstStyle/>
        <a:p>
          <a:endParaRPr lang="ru-RU" sz="1300"/>
        </a:p>
      </dgm:t>
    </dgm:pt>
    <dgm:pt modelId="{9E4A97A8-7DF9-4247-B24D-3071F1100A0D}">
      <dgm:prSet phldrT="[Текст]" custT="1"/>
      <dgm:spPr/>
      <dgm:t>
        <a:bodyPr/>
        <a:lstStyle/>
        <a:p>
          <a:pPr algn="just"/>
          <a:r>
            <a:rPr lang="uz-Latn-UZ" sz="1300" b="1"/>
            <a:t>S – Summary (xulosa)</a:t>
          </a:r>
          <a:r>
            <a:rPr lang="uz-Latn-UZ" sz="1300"/>
            <a:t> – PRESS metodiga asoslangan tahlil shuni ko‘rsatadiki, Hofiz Xorazmiy ijodida shaxs kamoloti masalasi chuqur falsafiy va didaktik mazmun kasb etadi.</a:t>
          </a:r>
          <a:endParaRPr lang="ru-RU" sz="1300"/>
        </a:p>
      </dgm:t>
    </dgm:pt>
    <dgm:pt modelId="{D2B8E0CC-A743-4A16-9A72-0F45A3D45E92}" type="parTrans" cxnId="{FD1CF7D0-9176-43CE-92AD-748687C60D88}">
      <dgm:prSet/>
      <dgm:spPr/>
      <dgm:t>
        <a:bodyPr/>
        <a:lstStyle/>
        <a:p>
          <a:endParaRPr lang="ru-RU" sz="1300"/>
        </a:p>
      </dgm:t>
    </dgm:pt>
    <dgm:pt modelId="{71ADCCC8-1E34-4BD0-8671-DB1ED43961B7}" type="sibTrans" cxnId="{FD1CF7D0-9176-43CE-92AD-748687C60D88}">
      <dgm:prSet/>
      <dgm:spPr/>
      <dgm:t>
        <a:bodyPr/>
        <a:lstStyle/>
        <a:p>
          <a:endParaRPr lang="ru-RU" sz="1300"/>
        </a:p>
      </dgm:t>
    </dgm:pt>
    <dgm:pt modelId="{CB7F290F-5A13-42BF-B841-D3C2B3BE3F3E}">
      <dgm:prSet phldrT="[Текст]" custT="1"/>
      <dgm:spPr/>
      <dgm:t>
        <a:bodyPr/>
        <a:lstStyle/>
        <a:p>
          <a:pPr algn="just"/>
          <a:r>
            <a:rPr lang="uz-Latn-UZ" sz="1300" b="1"/>
            <a:t>R – Reason (sabab)</a:t>
          </a:r>
          <a:r>
            <a:rPr lang="uz-Latn-UZ" sz="1300"/>
            <a:t> Hofiz Xorazmiy ijodida shaxs kamoloti g‘oyasi ilgari surilishining asosiy sababi – insonni ma’naviy yetuklikka yetaklovchi omillarni badiiy va falsafiy jihatdan yoritishdir.</a:t>
          </a:r>
          <a:endParaRPr lang="ru-RU" sz="1300"/>
        </a:p>
      </dgm:t>
    </dgm:pt>
    <dgm:pt modelId="{C8DC656A-23EC-4A0B-828D-86CB3F6B51DE}" type="parTrans" cxnId="{A62743EF-6759-419B-831A-68DF78C53675}">
      <dgm:prSet/>
      <dgm:spPr/>
      <dgm:t>
        <a:bodyPr/>
        <a:lstStyle/>
        <a:p>
          <a:endParaRPr lang="ru-RU" sz="1300"/>
        </a:p>
      </dgm:t>
    </dgm:pt>
    <dgm:pt modelId="{28777A8B-FD81-4375-BE5A-CB16B4C63DA6}" type="sibTrans" cxnId="{A62743EF-6759-419B-831A-68DF78C53675}">
      <dgm:prSet custT="1"/>
      <dgm:spPr/>
      <dgm:t>
        <a:bodyPr/>
        <a:lstStyle/>
        <a:p>
          <a:endParaRPr lang="ru-RU" sz="1300"/>
        </a:p>
      </dgm:t>
    </dgm:pt>
    <dgm:pt modelId="{F246DE85-8B97-4750-80B9-443C4BEBE448}" type="pres">
      <dgm:prSet presAssocID="{FB841E3E-8063-42DD-B499-FC5BAF8999D8}" presName="outerComposite" presStyleCnt="0">
        <dgm:presLayoutVars>
          <dgm:chMax val="5"/>
          <dgm:dir/>
          <dgm:resizeHandles val="exact"/>
        </dgm:presLayoutVars>
      </dgm:prSet>
      <dgm:spPr/>
    </dgm:pt>
    <dgm:pt modelId="{CAD0F261-A4F4-4E57-8B21-E5EC884207E0}" type="pres">
      <dgm:prSet presAssocID="{FB841E3E-8063-42DD-B499-FC5BAF8999D8}" presName="dummyMaxCanvas" presStyleCnt="0">
        <dgm:presLayoutVars/>
      </dgm:prSet>
      <dgm:spPr/>
    </dgm:pt>
    <dgm:pt modelId="{A3D22315-96AE-4078-8327-A252E308B2C4}" type="pres">
      <dgm:prSet presAssocID="{FB841E3E-8063-42DD-B499-FC5BAF8999D8}" presName="FourNodes_1" presStyleLbl="node1" presStyleIdx="0" presStyleCnt="4">
        <dgm:presLayoutVars>
          <dgm:bulletEnabled val="1"/>
        </dgm:presLayoutVars>
      </dgm:prSet>
      <dgm:spPr/>
      <dgm:t>
        <a:bodyPr/>
        <a:lstStyle/>
        <a:p>
          <a:endParaRPr lang="ru-RU"/>
        </a:p>
      </dgm:t>
    </dgm:pt>
    <dgm:pt modelId="{56264C4E-A4AD-41F0-AF14-F1AF3D9FCBF0}" type="pres">
      <dgm:prSet presAssocID="{FB841E3E-8063-42DD-B499-FC5BAF8999D8}" presName="FourNodes_2" presStyleLbl="node1" presStyleIdx="1" presStyleCnt="4">
        <dgm:presLayoutVars>
          <dgm:bulletEnabled val="1"/>
        </dgm:presLayoutVars>
      </dgm:prSet>
      <dgm:spPr/>
      <dgm:t>
        <a:bodyPr/>
        <a:lstStyle/>
        <a:p>
          <a:endParaRPr lang="ru-RU"/>
        </a:p>
      </dgm:t>
    </dgm:pt>
    <dgm:pt modelId="{9F40C8C8-6148-428F-825A-5209EB50447D}" type="pres">
      <dgm:prSet presAssocID="{FB841E3E-8063-42DD-B499-FC5BAF8999D8}" presName="FourNodes_3" presStyleLbl="node1" presStyleIdx="2" presStyleCnt="4">
        <dgm:presLayoutVars>
          <dgm:bulletEnabled val="1"/>
        </dgm:presLayoutVars>
      </dgm:prSet>
      <dgm:spPr/>
      <dgm:t>
        <a:bodyPr/>
        <a:lstStyle/>
        <a:p>
          <a:endParaRPr lang="ru-RU"/>
        </a:p>
      </dgm:t>
    </dgm:pt>
    <dgm:pt modelId="{2D4EEAA0-8A76-48AA-BDB9-8259C6260B9F}" type="pres">
      <dgm:prSet presAssocID="{FB841E3E-8063-42DD-B499-FC5BAF8999D8}" presName="FourNodes_4" presStyleLbl="node1" presStyleIdx="3" presStyleCnt="4">
        <dgm:presLayoutVars>
          <dgm:bulletEnabled val="1"/>
        </dgm:presLayoutVars>
      </dgm:prSet>
      <dgm:spPr/>
      <dgm:t>
        <a:bodyPr/>
        <a:lstStyle/>
        <a:p>
          <a:endParaRPr lang="ru-RU"/>
        </a:p>
      </dgm:t>
    </dgm:pt>
    <dgm:pt modelId="{7351B880-ECEE-49EA-9F94-DF30B32BA20D}" type="pres">
      <dgm:prSet presAssocID="{FB841E3E-8063-42DD-B499-FC5BAF8999D8}" presName="FourConn_1-2" presStyleLbl="fgAccFollowNode1" presStyleIdx="0" presStyleCnt="3">
        <dgm:presLayoutVars>
          <dgm:bulletEnabled val="1"/>
        </dgm:presLayoutVars>
      </dgm:prSet>
      <dgm:spPr/>
    </dgm:pt>
    <dgm:pt modelId="{E7907116-899D-4DDC-BEF5-96D1D7638833}" type="pres">
      <dgm:prSet presAssocID="{FB841E3E-8063-42DD-B499-FC5BAF8999D8}" presName="FourConn_2-3" presStyleLbl="fgAccFollowNode1" presStyleIdx="1" presStyleCnt="3">
        <dgm:presLayoutVars>
          <dgm:bulletEnabled val="1"/>
        </dgm:presLayoutVars>
      </dgm:prSet>
      <dgm:spPr/>
    </dgm:pt>
    <dgm:pt modelId="{717E6571-6729-4D73-8C8D-7A950616DE1A}" type="pres">
      <dgm:prSet presAssocID="{FB841E3E-8063-42DD-B499-FC5BAF8999D8}" presName="FourConn_3-4" presStyleLbl="fgAccFollowNode1" presStyleIdx="2" presStyleCnt="3">
        <dgm:presLayoutVars>
          <dgm:bulletEnabled val="1"/>
        </dgm:presLayoutVars>
      </dgm:prSet>
      <dgm:spPr/>
    </dgm:pt>
    <dgm:pt modelId="{2DFA5A2C-33ED-4F60-9573-497D5257A198}" type="pres">
      <dgm:prSet presAssocID="{FB841E3E-8063-42DD-B499-FC5BAF8999D8}" presName="FourNodes_1_text" presStyleLbl="node1" presStyleIdx="3" presStyleCnt="4">
        <dgm:presLayoutVars>
          <dgm:bulletEnabled val="1"/>
        </dgm:presLayoutVars>
      </dgm:prSet>
      <dgm:spPr/>
      <dgm:t>
        <a:bodyPr/>
        <a:lstStyle/>
        <a:p>
          <a:endParaRPr lang="ru-RU"/>
        </a:p>
      </dgm:t>
    </dgm:pt>
    <dgm:pt modelId="{F7640B06-753A-45F7-BC37-C92603A01479}" type="pres">
      <dgm:prSet presAssocID="{FB841E3E-8063-42DD-B499-FC5BAF8999D8}" presName="FourNodes_2_text" presStyleLbl="node1" presStyleIdx="3" presStyleCnt="4">
        <dgm:presLayoutVars>
          <dgm:bulletEnabled val="1"/>
        </dgm:presLayoutVars>
      </dgm:prSet>
      <dgm:spPr/>
      <dgm:t>
        <a:bodyPr/>
        <a:lstStyle/>
        <a:p>
          <a:endParaRPr lang="ru-RU"/>
        </a:p>
      </dgm:t>
    </dgm:pt>
    <dgm:pt modelId="{5FF78E2E-E622-4F35-99A8-F3B474212539}" type="pres">
      <dgm:prSet presAssocID="{FB841E3E-8063-42DD-B499-FC5BAF8999D8}" presName="FourNodes_3_text" presStyleLbl="node1" presStyleIdx="3" presStyleCnt="4">
        <dgm:presLayoutVars>
          <dgm:bulletEnabled val="1"/>
        </dgm:presLayoutVars>
      </dgm:prSet>
      <dgm:spPr/>
      <dgm:t>
        <a:bodyPr/>
        <a:lstStyle/>
        <a:p>
          <a:endParaRPr lang="ru-RU"/>
        </a:p>
      </dgm:t>
    </dgm:pt>
    <dgm:pt modelId="{BCCB3B6A-79BE-481A-8727-3CB51F9D20A3}" type="pres">
      <dgm:prSet presAssocID="{FB841E3E-8063-42DD-B499-FC5BAF8999D8}" presName="FourNodes_4_text" presStyleLbl="node1" presStyleIdx="3" presStyleCnt="4">
        <dgm:presLayoutVars>
          <dgm:bulletEnabled val="1"/>
        </dgm:presLayoutVars>
      </dgm:prSet>
      <dgm:spPr/>
      <dgm:t>
        <a:bodyPr/>
        <a:lstStyle/>
        <a:p>
          <a:endParaRPr lang="ru-RU"/>
        </a:p>
      </dgm:t>
    </dgm:pt>
  </dgm:ptLst>
  <dgm:cxnLst>
    <dgm:cxn modelId="{7265312F-45E8-4F48-B21D-232F40C8ED27}" type="presOf" srcId="{B9FD5B9D-3F54-4005-9BDC-8E684F2B7B07}" destId="{9F40C8C8-6148-428F-825A-5209EB50447D}" srcOrd="0" destOrd="0" presId="urn:microsoft.com/office/officeart/2005/8/layout/vProcess5"/>
    <dgm:cxn modelId="{7352D16B-6D56-4938-8965-4EDE6A5218C7}" srcId="{FB841E3E-8063-42DD-B499-FC5BAF8999D8}" destId="{B9FD5B9D-3F54-4005-9BDC-8E684F2B7B07}" srcOrd="2" destOrd="0" parTransId="{BB88D989-3635-4FEE-92CE-6C9C0DA174CF}" sibTransId="{7033DFF3-E7BD-4B1C-9A6A-94F9EED555F7}"/>
    <dgm:cxn modelId="{7CFF56BD-3871-4859-81A6-C7BE38F07437}" type="presOf" srcId="{72042317-C12A-42C2-9B8C-BB0C620AD302}" destId="{2DFA5A2C-33ED-4F60-9573-497D5257A198}" srcOrd="1" destOrd="0" presId="urn:microsoft.com/office/officeart/2005/8/layout/vProcess5"/>
    <dgm:cxn modelId="{DF8AC21F-844D-48E9-A921-4AB172705DD0}" type="presOf" srcId="{1046F903-BBA4-40BD-8E4E-21217BEF9506}" destId="{7351B880-ECEE-49EA-9F94-DF30B32BA20D}" srcOrd="0" destOrd="0" presId="urn:microsoft.com/office/officeart/2005/8/layout/vProcess5"/>
    <dgm:cxn modelId="{FF4180E8-FC86-4BE0-A974-594E7C6AAE44}" type="presOf" srcId="{B9FD5B9D-3F54-4005-9BDC-8E684F2B7B07}" destId="{5FF78E2E-E622-4F35-99A8-F3B474212539}" srcOrd="1" destOrd="0" presId="urn:microsoft.com/office/officeart/2005/8/layout/vProcess5"/>
    <dgm:cxn modelId="{A62743EF-6759-419B-831A-68DF78C53675}" srcId="{FB841E3E-8063-42DD-B499-FC5BAF8999D8}" destId="{CB7F290F-5A13-42BF-B841-D3C2B3BE3F3E}" srcOrd="1" destOrd="0" parTransId="{C8DC656A-23EC-4A0B-828D-86CB3F6B51DE}" sibTransId="{28777A8B-FD81-4375-BE5A-CB16B4C63DA6}"/>
    <dgm:cxn modelId="{68986FEF-782B-41F0-A52F-73DDC362027E}" type="presOf" srcId="{9E4A97A8-7DF9-4247-B24D-3071F1100A0D}" destId="{BCCB3B6A-79BE-481A-8727-3CB51F9D20A3}" srcOrd="1" destOrd="0" presId="urn:microsoft.com/office/officeart/2005/8/layout/vProcess5"/>
    <dgm:cxn modelId="{000AEEBD-E6AA-42EE-93BE-B866D6D5EE1F}" type="presOf" srcId="{CB7F290F-5A13-42BF-B841-D3C2B3BE3F3E}" destId="{F7640B06-753A-45F7-BC37-C92603A01479}" srcOrd="1" destOrd="0" presId="urn:microsoft.com/office/officeart/2005/8/layout/vProcess5"/>
    <dgm:cxn modelId="{4E8AA7CC-B0A9-4C59-BF1B-87F7655D5ABC}" type="presOf" srcId="{7033DFF3-E7BD-4B1C-9A6A-94F9EED555F7}" destId="{717E6571-6729-4D73-8C8D-7A950616DE1A}" srcOrd="0" destOrd="0" presId="urn:microsoft.com/office/officeart/2005/8/layout/vProcess5"/>
    <dgm:cxn modelId="{53712F12-AFEE-4200-A113-BCA18C7F71BF}" type="presOf" srcId="{72042317-C12A-42C2-9B8C-BB0C620AD302}" destId="{A3D22315-96AE-4078-8327-A252E308B2C4}" srcOrd="0" destOrd="0" presId="urn:microsoft.com/office/officeart/2005/8/layout/vProcess5"/>
    <dgm:cxn modelId="{55C4CD98-0FFD-4B66-9483-1EB9BE97BC59}" type="presOf" srcId="{9E4A97A8-7DF9-4247-B24D-3071F1100A0D}" destId="{2D4EEAA0-8A76-48AA-BDB9-8259C6260B9F}" srcOrd="0" destOrd="0" presId="urn:microsoft.com/office/officeart/2005/8/layout/vProcess5"/>
    <dgm:cxn modelId="{3F4D565C-15D7-4496-B300-13723BEB8EE8}" type="presOf" srcId="{FB841E3E-8063-42DD-B499-FC5BAF8999D8}" destId="{F246DE85-8B97-4750-80B9-443C4BEBE448}" srcOrd="0" destOrd="0" presId="urn:microsoft.com/office/officeart/2005/8/layout/vProcess5"/>
    <dgm:cxn modelId="{D1ADA55F-84DB-45A8-89EA-8BBDCF5ED6B9}" type="presOf" srcId="{28777A8B-FD81-4375-BE5A-CB16B4C63DA6}" destId="{E7907116-899D-4DDC-BEF5-96D1D7638833}" srcOrd="0" destOrd="0" presId="urn:microsoft.com/office/officeart/2005/8/layout/vProcess5"/>
    <dgm:cxn modelId="{ABC4A2D3-F623-4A06-9A6B-B1FB1EA644C7}" srcId="{FB841E3E-8063-42DD-B499-FC5BAF8999D8}" destId="{72042317-C12A-42C2-9B8C-BB0C620AD302}" srcOrd="0" destOrd="0" parTransId="{5ACA0477-769C-490C-AD17-C1E523270779}" sibTransId="{1046F903-BBA4-40BD-8E4E-21217BEF9506}"/>
    <dgm:cxn modelId="{86260FA8-4828-486B-BC24-33361AAD7819}" type="presOf" srcId="{CB7F290F-5A13-42BF-B841-D3C2B3BE3F3E}" destId="{56264C4E-A4AD-41F0-AF14-F1AF3D9FCBF0}" srcOrd="0" destOrd="0" presId="urn:microsoft.com/office/officeart/2005/8/layout/vProcess5"/>
    <dgm:cxn modelId="{FD1CF7D0-9176-43CE-92AD-748687C60D88}" srcId="{FB841E3E-8063-42DD-B499-FC5BAF8999D8}" destId="{9E4A97A8-7DF9-4247-B24D-3071F1100A0D}" srcOrd="3" destOrd="0" parTransId="{D2B8E0CC-A743-4A16-9A72-0F45A3D45E92}" sibTransId="{71ADCCC8-1E34-4BD0-8671-DB1ED43961B7}"/>
    <dgm:cxn modelId="{E168CE1E-9292-48CA-A886-E2470BC920E2}" type="presParOf" srcId="{F246DE85-8B97-4750-80B9-443C4BEBE448}" destId="{CAD0F261-A4F4-4E57-8B21-E5EC884207E0}" srcOrd="0" destOrd="0" presId="urn:microsoft.com/office/officeart/2005/8/layout/vProcess5"/>
    <dgm:cxn modelId="{43D1816F-2429-48AF-B8D3-DBBB4097B14D}" type="presParOf" srcId="{F246DE85-8B97-4750-80B9-443C4BEBE448}" destId="{A3D22315-96AE-4078-8327-A252E308B2C4}" srcOrd="1" destOrd="0" presId="urn:microsoft.com/office/officeart/2005/8/layout/vProcess5"/>
    <dgm:cxn modelId="{089E2984-D8C2-42AF-9A9A-60EFFD5C6C70}" type="presParOf" srcId="{F246DE85-8B97-4750-80B9-443C4BEBE448}" destId="{56264C4E-A4AD-41F0-AF14-F1AF3D9FCBF0}" srcOrd="2" destOrd="0" presId="urn:microsoft.com/office/officeart/2005/8/layout/vProcess5"/>
    <dgm:cxn modelId="{BA529024-1A44-459E-B867-7DF83A445AF3}" type="presParOf" srcId="{F246DE85-8B97-4750-80B9-443C4BEBE448}" destId="{9F40C8C8-6148-428F-825A-5209EB50447D}" srcOrd="3" destOrd="0" presId="urn:microsoft.com/office/officeart/2005/8/layout/vProcess5"/>
    <dgm:cxn modelId="{46B1AE4E-FB0C-4868-9BD4-FA1B6E41456D}" type="presParOf" srcId="{F246DE85-8B97-4750-80B9-443C4BEBE448}" destId="{2D4EEAA0-8A76-48AA-BDB9-8259C6260B9F}" srcOrd="4" destOrd="0" presId="urn:microsoft.com/office/officeart/2005/8/layout/vProcess5"/>
    <dgm:cxn modelId="{0D718A36-E229-4E69-88D1-5E0029213A61}" type="presParOf" srcId="{F246DE85-8B97-4750-80B9-443C4BEBE448}" destId="{7351B880-ECEE-49EA-9F94-DF30B32BA20D}" srcOrd="5" destOrd="0" presId="urn:microsoft.com/office/officeart/2005/8/layout/vProcess5"/>
    <dgm:cxn modelId="{C372349F-AEB7-465B-A8B0-BDD95157D302}" type="presParOf" srcId="{F246DE85-8B97-4750-80B9-443C4BEBE448}" destId="{E7907116-899D-4DDC-BEF5-96D1D7638833}" srcOrd="6" destOrd="0" presId="urn:microsoft.com/office/officeart/2005/8/layout/vProcess5"/>
    <dgm:cxn modelId="{4D6C6E0E-E6C4-4F87-A6BC-A87E1526A381}" type="presParOf" srcId="{F246DE85-8B97-4750-80B9-443C4BEBE448}" destId="{717E6571-6729-4D73-8C8D-7A950616DE1A}" srcOrd="7" destOrd="0" presId="urn:microsoft.com/office/officeart/2005/8/layout/vProcess5"/>
    <dgm:cxn modelId="{C5031D13-2226-4E81-BDB1-4DB987A8CED0}" type="presParOf" srcId="{F246DE85-8B97-4750-80B9-443C4BEBE448}" destId="{2DFA5A2C-33ED-4F60-9573-497D5257A198}" srcOrd="8" destOrd="0" presId="urn:microsoft.com/office/officeart/2005/8/layout/vProcess5"/>
    <dgm:cxn modelId="{4CDD1223-E05C-4F22-8B64-6B51BDF4B29A}" type="presParOf" srcId="{F246DE85-8B97-4750-80B9-443C4BEBE448}" destId="{F7640B06-753A-45F7-BC37-C92603A01479}" srcOrd="9" destOrd="0" presId="urn:microsoft.com/office/officeart/2005/8/layout/vProcess5"/>
    <dgm:cxn modelId="{819C2526-9A31-4C40-BEA2-1F4762280E01}" type="presParOf" srcId="{F246DE85-8B97-4750-80B9-443C4BEBE448}" destId="{5FF78E2E-E622-4F35-99A8-F3B474212539}" srcOrd="10" destOrd="0" presId="urn:microsoft.com/office/officeart/2005/8/layout/vProcess5"/>
    <dgm:cxn modelId="{E52EC085-1B95-4692-BC73-C58C52E4FB6C}" type="presParOf" srcId="{F246DE85-8B97-4750-80B9-443C4BEBE448}" destId="{BCCB3B6A-79BE-481A-8727-3CB51F9D20A3}" srcOrd="11" destOrd="0" presId="urn:microsoft.com/office/officeart/2005/8/layout/vProcess5"/>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8F11384-645A-47FC-BA01-A85192250891}">
      <dsp:nvSpPr>
        <dsp:cNvPr id="0" name=""/>
        <dsp:cNvSpPr/>
      </dsp:nvSpPr>
      <dsp:spPr>
        <a:xfrm>
          <a:off x="-3617274" y="-555868"/>
          <a:ext cx="4312137" cy="4312137"/>
        </a:xfrm>
        <a:prstGeom prst="blockArc">
          <a:avLst>
            <a:gd name="adj1" fmla="val 18900000"/>
            <a:gd name="adj2" fmla="val 2700000"/>
            <a:gd name="adj3" fmla="val 501"/>
          </a:avLst>
        </a:pr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B579948-4F65-45C0-8D84-2E4D6A6DF30E}">
      <dsp:nvSpPr>
        <dsp:cNvPr id="0" name=""/>
        <dsp:cNvSpPr/>
      </dsp:nvSpPr>
      <dsp:spPr>
        <a:xfrm>
          <a:off x="364263" y="246046"/>
          <a:ext cx="5080589" cy="492349"/>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90802" tIns="35560" rIns="35560" bIns="35560" numCol="1" spcCol="1270" anchor="ctr" anchorCtr="0">
          <a:noAutofit/>
        </a:bodyPr>
        <a:lstStyle/>
        <a:p>
          <a:pPr lvl="0" algn="l" defTabSz="622300">
            <a:lnSpc>
              <a:spcPct val="90000"/>
            </a:lnSpc>
            <a:spcBef>
              <a:spcPct val="0"/>
            </a:spcBef>
            <a:spcAft>
              <a:spcPct val="35000"/>
            </a:spcAft>
          </a:pPr>
          <a:r>
            <a:rPr lang="uz-Latn-UZ" sz="1400" b="1" kern="1200"/>
            <a:t>P – Position (pozitsiya)</a:t>
          </a:r>
          <a:r>
            <a:rPr lang="uz-Latn-UZ" sz="1400" kern="1200"/>
            <a:t> – muallif yoki tadqiqotchining asosiy fikri yoki pozitsiyasi bayon qilinadi;</a:t>
          </a:r>
          <a:endParaRPr lang="ru-RU" sz="1400" kern="1200"/>
        </a:p>
      </dsp:txBody>
      <dsp:txXfrm>
        <a:off x="364263" y="246046"/>
        <a:ext cx="5080589" cy="492349"/>
      </dsp:txXfrm>
    </dsp:sp>
    <dsp:sp modelId="{0F0443A3-F2CA-43B3-A881-48EC8DDB46B5}">
      <dsp:nvSpPr>
        <dsp:cNvPr id="0" name=""/>
        <dsp:cNvSpPr/>
      </dsp:nvSpPr>
      <dsp:spPr>
        <a:xfrm>
          <a:off x="56545" y="184503"/>
          <a:ext cx="615436" cy="615436"/>
        </a:xfrm>
        <a:prstGeom prst="ellipse">
          <a:avLst/>
        </a:prstGeom>
        <a:solidFill>
          <a:schemeClr val="lt1">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471475A-C137-44AF-A895-DCDA81126B91}">
      <dsp:nvSpPr>
        <dsp:cNvPr id="0" name=""/>
        <dsp:cNvSpPr/>
      </dsp:nvSpPr>
      <dsp:spPr>
        <a:xfrm>
          <a:off x="646539" y="984699"/>
          <a:ext cx="4798313" cy="492349"/>
        </a:xfrm>
        <a:prstGeom prst="rect">
          <a:avLst/>
        </a:prstGeom>
        <a:solidFill>
          <a:schemeClr val="accent4">
            <a:hueOff val="3465231"/>
            <a:satOff val="-15989"/>
            <a:lumOff val="58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90802" tIns="35560" rIns="35560" bIns="35560" numCol="1" spcCol="1270" anchor="ctr" anchorCtr="0">
          <a:noAutofit/>
        </a:bodyPr>
        <a:lstStyle/>
        <a:p>
          <a:pPr lvl="0" algn="l" defTabSz="622300">
            <a:lnSpc>
              <a:spcPct val="90000"/>
            </a:lnSpc>
            <a:spcBef>
              <a:spcPct val="0"/>
            </a:spcBef>
            <a:spcAft>
              <a:spcPct val="35000"/>
            </a:spcAft>
          </a:pPr>
          <a:r>
            <a:rPr lang="uz-Latn-UZ" sz="1400" b="1" kern="1200"/>
            <a:t>R – Reason (sabab)</a:t>
          </a:r>
          <a:r>
            <a:rPr lang="uz-Latn-UZ" sz="1400" kern="1200"/>
            <a:t> – ushbu pozitsiyani asoslovchi ilmiy dalillar va sabablar keltiriladi;</a:t>
          </a:r>
          <a:endParaRPr lang="ru-RU" sz="1400" kern="1200"/>
        </a:p>
      </dsp:txBody>
      <dsp:txXfrm>
        <a:off x="646539" y="984699"/>
        <a:ext cx="4798313" cy="492349"/>
      </dsp:txXfrm>
    </dsp:sp>
    <dsp:sp modelId="{599A7E2F-0D92-4016-9B04-5359FD2AEA7E}">
      <dsp:nvSpPr>
        <dsp:cNvPr id="0" name=""/>
        <dsp:cNvSpPr/>
      </dsp:nvSpPr>
      <dsp:spPr>
        <a:xfrm>
          <a:off x="338820" y="923155"/>
          <a:ext cx="615436" cy="615436"/>
        </a:xfrm>
        <a:prstGeom prst="ellipse">
          <a:avLst/>
        </a:prstGeom>
        <a:solidFill>
          <a:schemeClr val="lt1">
            <a:hueOff val="0"/>
            <a:satOff val="0"/>
            <a:lumOff val="0"/>
            <a:alphaOff val="0"/>
          </a:schemeClr>
        </a:solidFill>
        <a:ln w="12700" cap="flat" cmpd="sng" algn="ctr">
          <a:solidFill>
            <a:schemeClr val="accent4">
              <a:hueOff val="3465231"/>
              <a:satOff val="-15989"/>
              <a:lumOff val="588"/>
              <a:alphaOff val="0"/>
            </a:schemeClr>
          </a:solidFill>
          <a:prstDash val="solid"/>
          <a:miter lim="800000"/>
        </a:ln>
        <a:effectLst/>
      </dsp:spPr>
      <dsp:style>
        <a:lnRef idx="2">
          <a:scrgbClr r="0" g="0" b="0"/>
        </a:lnRef>
        <a:fillRef idx="1">
          <a:scrgbClr r="0" g="0" b="0"/>
        </a:fillRef>
        <a:effectRef idx="0">
          <a:scrgbClr r="0" g="0" b="0"/>
        </a:effectRef>
        <a:fontRef idx="minor"/>
      </dsp:style>
    </dsp:sp>
    <dsp:sp modelId="{9F2028EE-1B61-4D00-A682-22510DE362D1}">
      <dsp:nvSpPr>
        <dsp:cNvPr id="0" name=""/>
        <dsp:cNvSpPr/>
      </dsp:nvSpPr>
      <dsp:spPr>
        <a:xfrm>
          <a:off x="646539" y="1723351"/>
          <a:ext cx="4798313" cy="492349"/>
        </a:xfrm>
        <a:prstGeom prst="rect">
          <a:avLst/>
        </a:prstGeom>
        <a:solidFill>
          <a:schemeClr val="accent4">
            <a:hueOff val="6930461"/>
            <a:satOff val="-31979"/>
            <a:lumOff val="117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90802" tIns="35560" rIns="35560" bIns="35560" numCol="1" spcCol="1270" anchor="ctr" anchorCtr="0">
          <a:noAutofit/>
        </a:bodyPr>
        <a:lstStyle/>
        <a:p>
          <a:pPr lvl="0" algn="l" defTabSz="622300">
            <a:lnSpc>
              <a:spcPct val="90000"/>
            </a:lnSpc>
            <a:spcBef>
              <a:spcPct val="0"/>
            </a:spcBef>
            <a:spcAft>
              <a:spcPct val="35000"/>
            </a:spcAft>
          </a:pPr>
          <a:r>
            <a:rPr lang="uz-Latn-UZ" sz="1400" b="1" kern="1200"/>
            <a:t>E – Example (misol)</a:t>
          </a:r>
          <a:r>
            <a:rPr lang="uz-Latn-UZ" sz="1400" kern="1200"/>
            <a:t> – nazariy fikrlar badiiy yoki ilmiy misollar orqali dalillanadi;</a:t>
          </a:r>
          <a:endParaRPr lang="ru-RU" sz="1400" kern="1200"/>
        </a:p>
      </dsp:txBody>
      <dsp:txXfrm>
        <a:off x="646539" y="1723351"/>
        <a:ext cx="4798313" cy="492349"/>
      </dsp:txXfrm>
    </dsp:sp>
    <dsp:sp modelId="{A71F72FC-8AA4-4197-86D7-DFE8214D4EC1}">
      <dsp:nvSpPr>
        <dsp:cNvPr id="0" name=""/>
        <dsp:cNvSpPr/>
      </dsp:nvSpPr>
      <dsp:spPr>
        <a:xfrm>
          <a:off x="338820" y="1661807"/>
          <a:ext cx="615436" cy="615436"/>
        </a:xfrm>
        <a:prstGeom prst="ellipse">
          <a:avLst/>
        </a:prstGeom>
        <a:solidFill>
          <a:schemeClr val="lt1">
            <a:hueOff val="0"/>
            <a:satOff val="0"/>
            <a:lumOff val="0"/>
            <a:alphaOff val="0"/>
          </a:schemeClr>
        </a:solidFill>
        <a:ln w="12700" cap="flat" cmpd="sng" algn="ctr">
          <a:solidFill>
            <a:schemeClr val="accent4">
              <a:hueOff val="6930461"/>
              <a:satOff val="-31979"/>
              <a:lumOff val="1177"/>
              <a:alphaOff val="0"/>
            </a:schemeClr>
          </a:solidFill>
          <a:prstDash val="solid"/>
          <a:miter lim="800000"/>
        </a:ln>
        <a:effectLst/>
      </dsp:spPr>
      <dsp:style>
        <a:lnRef idx="2">
          <a:scrgbClr r="0" g="0" b="0"/>
        </a:lnRef>
        <a:fillRef idx="1">
          <a:scrgbClr r="0" g="0" b="0"/>
        </a:fillRef>
        <a:effectRef idx="0">
          <a:scrgbClr r="0" g="0" b="0"/>
        </a:effectRef>
        <a:fontRef idx="minor"/>
      </dsp:style>
    </dsp:sp>
    <dsp:sp modelId="{994C377F-348B-4EB2-BAF0-072214716B15}">
      <dsp:nvSpPr>
        <dsp:cNvPr id="0" name=""/>
        <dsp:cNvSpPr/>
      </dsp:nvSpPr>
      <dsp:spPr>
        <a:xfrm>
          <a:off x="364263" y="2462003"/>
          <a:ext cx="5080589" cy="492349"/>
        </a:xfrm>
        <a:prstGeom prst="rect">
          <a:avLst/>
        </a:prstGeom>
        <a:solidFill>
          <a:schemeClr val="accent4">
            <a:hueOff val="10395692"/>
            <a:satOff val="-47968"/>
            <a:lumOff val="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90802" tIns="35560" rIns="35560" bIns="35560" numCol="1" spcCol="1270" anchor="ctr" anchorCtr="0">
          <a:noAutofit/>
        </a:bodyPr>
        <a:lstStyle/>
        <a:p>
          <a:pPr lvl="0" algn="l" defTabSz="622300">
            <a:lnSpc>
              <a:spcPct val="90000"/>
            </a:lnSpc>
            <a:spcBef>
              <a:spcPct val="0"/>
            </a:spcBef>
            <a:spcAft>
              <a:spcPct val="35000"/>
            </a:spcAft>
          </a:pPr>
          <a:r>
            <a:rPr lang="uz-Latn-UZ" sz="1400" b="1" kern="1200"/>
            <a:t>S – Summary (xulosa)</a:t>
          </a:r>
          <a:r>
            <a:rPr lang="uz-Latn-UZ" sz="1400" kern="1200"/>
            <a:t> – keltirilgan fikrlar umumlashtirilib yakuniy ilmiy xulosa chiqariladi.</a:t>
          </a:r>
          <a:endParaRPr lang="ru-RU" sz="1400" kern="1200"/>
        </a:p>
      </dsp:txBody>
      <dsp:txXfrm>
        <a:off x="364263" y="2462003"/>
        <a:ext cx="5080589" cy="492349"/>
      </dsp:txXfrm>
    </dsp:sp>
    <dsp:sp modelId="{B6BBE4EA-4E82-4978-A45B-DB0665647435}">
      <dsp:nvSpPr>
        <dsp:cNvPr id="0" name=""/>
        <dsp:cNvSpPr/>
      </dsp:nvSpPr>
      <dsp:spPr>
        <a:xfrm>
          <a:off x="56545" y="2400460"/>
          <a:ext cx="615436" cy="615436"/>
        </a:xfrm>
        <a:prstGeom prst="ellipse">
          <a:avLst/>
        </a:prstGeom>
        <a:solidFill>
          <a:schemeClr val="lt1">
            <a:hueOff val="0"/>
            <a:satOff val="0"/>
            <a:lumOff val="0"/>
            <a:alphaOff val="0"/>
          </a:schemeClr>
        </a:solidFill>
        <a:ln w="12700" cap="flat" cmpd="sng" algn="ctr">
          <a:solidFill>
            <a:schemeClr val="accent4">
              <a:hueOff val="10395692"/>
              <a:satOff val="-47968"/>
              <a:lumOff val="1765"/>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3D22315-96AE-4078-8327-A252E308B2C4}">
      <dsp:nvSpPr>
        <dsp:cNvPr id="0" name=""/>
        <dsp:cNvSpPr/>
      </dsp:nvSpPr>
      <dsp:spPr>
        <a:xfrm>
          <a:off x="0" y="0"/>
          <a:ext cx="4508192" cy="963718"/>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just" defTabSz="577850">
            <a:lnSpc>
              <a:spcPct val="90000"/>
            </a:lnSpc>
            <a:spcBef>
              <a:spcPct val="0"/>
            </a:spcBef>
            <a:spcAft>
              <a:spcPct val="35000"/>
            </a:spcAft>
          </a:pPr>
          <a:r>
            <a:rPr lang="uz-Latn-UZ" sz="1300" b="1" kern="1200"/>
            <a:t>P – Position (pozitsiya)</a:t>
          </a:r>
          <a:r>
            <a:rPr lang="uz-Latn-UZ" sz="1300" kern="1200"/>
            <a:t> – Hofiz Xorazmiy ijodida shaxs kamoloti masalasi ishq, aql, ilm va tarbiya kabi tushunchalar orqali talqin etilib, insonning ma’naviy yetuklikka erishishi ana shu omillarning uyg‘unligi orqali yuzaga kelishi ta’kidlanadi.</a:t>
          </a:r>
          <a:endParaRPr lang="ru-RU" sz="1300" kern="1200"/>
        </a:p>
      </dsp:txBody>
      <dsp:txXfrm>
        <a:off x="28226" y="28226"/>
        <a:ext cx="3386831" cy="907266"/>
      </dsp:txXfrm>
    </dsp:sp>
    <dsp:sp modelId="{56264C4E-A4AD-41F0-AF14-F1AF3D9FCBF0}">
      <dsp:nvSpPr>
        <dsp:cNvPr id="0" name=""/>
        <dsp:cNvSpPr/>
      </dsp:nvSpPr>
      <dsp:spPr>
        <a:xfrm>
          <a:off x="377561" y="1138940"/>
          <a:ext cx="4508192" cy="963718"/>
        </a:xfrm>
        <a:prstGeom prst="roundRect">
          <a:avLst>
            <a:gd name="adj" fmla="val 10000"/>
          </a:avLst>
        </a:prstGeom>
        <a:solidFill>
          <a:schemeClr val="accent4">
            <a:hueOff val="3465231"/>
            <a:satOff val="-15989"/>
            <a:lumOff val="58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just" defTabSz="577850">
            <a:lnSpc>
              <a:spcPct val="90000"/>
            </a:lnSpc>
            <a:spcBef>
              <a:spcPct val="0"/>
            </a:spcBef>
            <a:spcAft>
              <a:spcPct val="35000"/>
            </a:spcAft>
          </a:pPr>
          <a:r>
            <a:rPr lang="uz-Latn-UZ" sz="1300" b="1" kern="1200"/>
            <a:t>R – Reason (sabab)</a:t>
          </a:r>
          <a:r>
            <a:rPr lang="uz-Latn-UZ" sz="1300" kern="1200"/>
            <a:t> Hofiz Xorazmiy ijodida shaxs kamoloti g‘oyasi ilgari surilishining asosiy sababi – insonni ma’naviy yetuklikka yetaklovchi omillarni badiiy va falsafiy jihatdan yoritishdir.</a:t>
          </a:r>
          <a:endParaRPr lang="ru-RU" sz="1300" kern="1200"/>
        </a:p>
      </dsp:txBody>
      <dsp:txXfrm>
        <a:off x="405787" y="1167166"/>
        <a:ext cx="3447762" cy="907266"/>
      </dsp:txXfrm>
    </dsp:sp>
    <dsp:sp modelId="{9F40C8C8-6148-428F-825A-5209EB50447D}">
      <dsp:nvSpPr>
        <dsp:cNvPr id="0" name=""/>
        <dsp:cNvSpPr/>
      </dsp:nvSpPr>
      <dsp:spPr>
        <a:xfrm>
          <a:off x="749487" y="2277880"/>
          <a:ext cx="4508192" cy="963718"/>
        </a:xfrm>
        <a:prstGeom prst="roundRect">
          <a:avLst>
            <a:gd name="adj" fmla="val 10000"/>
          </a:avLst>
        </a:prstGeom>
        <a:solidFill>
          <a:schemeClr val="accent4">
            <a:hueOff val="6930461"/>
            <a:satOff val="-31979"/>
            <a:lumOff val="117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just" defTabSz="577850">
            <a:lnSpc>
              <a:spcPct val="90000"/>
            </a:lnSpc>
            <a:spcBef>
              <a:spcPct val="0"/>
            </a:spcBef>
            <a:spcAft>
              <a:spcPct val="35000"/>
            </a:spcAft>
          </a:pPr>
          <a:r>
            <a:rPr lang="uz-Latn-UZ" sz="1300" b="1" kern="1200"/>
            <a:t>E – Example (misol)</a:t>
          </a:r>
          <a:r>
            <a:rPr lang="uz-Latn-UZ" sz="1300" kern="1200"/>
            <a:t> – Shoirning didaktik qarashlari uning g‘azallarida yorqin badiiy ifodasini topgan!</a:t>
          </a:r>
        </a:p>
        <a:p>
          <a:pPr lvl="0" algn="ctr" defTabSz="577850">
            <a:lnSpc>
              <a:spcPct val="90000"/>
            </a:lnSpc>
            <a:spcBef>
              <a:spcPct val="0"/>
            </a:spcBef>
            <a:spcAft>
              <a:spcPct val="35000"/>
            </a:spcAft>
          </a:pPr>
          <a:r>
            <a:rPr lang="uz-Latn-UZ" sz="1300" kern="1200"/>
            <a:t>(Kamida uchta misol keltiriladi)</a:t>
          </a:r>
          <a:endParaRPr lang="ru-RU" sz="1300" kern="1200"/>
        </a:p>
      </dsp:txBody>
      <dsp:txXfrm>
        <a:off x="777713" y="2306106"/>
        <a:ext cx="3453397" cy="907266"/>
      </dsp:txXfrm>
    </dsp:sp>
    <dsp:sp modelId="{2D4EEAA0-8A76-48AA-BDB9-8259C6260B9F}">
      <dsp:nvSpPr>
        <dsp:cNvPr id="0" name=""/>
        <dsp:cNvSpPr/>
      </dsp:nvSpPr>
      <dsp:spPr>
        <a:xfrm>
          <a:off x="1127048" y="3416821"/>
          <a:ext cx="4508192" cy="963718"/>
        </a:xfrm>
        <a:prstGeom prst="roundRect">
          <a:avLst>
            <a:gd name="adj" fmla="val 10000"/>
          </a:avLst>
        </a:prstGeom>
        <a:solidFill>
          <a:schemeClr val="accent4">
            <a:hueOff val="10395692"/>
            <a:satOff val="-47968"/>
            <a:lumOff val="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just" defTabSz="577850">
            <a:lnSpc>
              <a:spcPct val="90000"/>
            </a:lnSpc>
            <a:spcBef>
              <a:spcPct val="0"/>
            </a:spcBef>
            <a:spcAft>
              <a:spcPct val="35000"/>
            </a:spcAft>
          </a:pPr>
          <a:r>
            <a:rPr lang="uz-Latn-UZ" sz="1300" b="1" kern="1200"/>
            <a:t>S – Summary (xulosa)</a:t>
          </a:r>
          <a:r>
            <a:rPr lang="uz-Latn-UZ" sz="1300" kern="1200"/>
            <a:t> – PRESS metodiga asoslangan tahlil shuni ko‘rsatadiki, Hofiz Xorazmiy ijodida shaxs kamoloti masalasi chuqur falsafiy va didaktik mazmun kasb etadi.</a:t>
          </a:r>
          <a:endParaRPr lang="ru-RU" sz="1300" kern="1200"/>
        </a:p>
      </dsp:txBody>
      <dsp:txXfrm>
        <a:off x="1155274" y="3445047"/>
        <a:ext cx="3447762" cy="907266"/>
      </dsp:txXfrm>
    </dsp:sp>
    <dsp:sp modelId="{7351B880-ECEE-49EA-9F94-DF30B32BA20D}">
      <dsp:nvSpPr>
        <dsp:cNvPr id="0" name=""/>
        <dsp:cNvSpPr/>
      </dsp:nvSpPr>
      <dsp:spPr>
        <a:xfrm>
          <a:off x="3881775" y="738120"/>
          <a:ext cx="626417" cy="626417"/>
        </a:xfrm>
        <a:prstGeom prst="downArrow">
          <a:avLst>
            <a:gd name="adj1" fmla="val 55000"/>
            <a:gd name="adj2" fmla="val 45000"/>
          </a:avLst>
        </a:prstGeom>
        <a:solidFill>
          <a:schemeClr val="accent4">
            <a:tint val="40000"/>
            <a:alpha val="90000"/>
            <a:hueOff val="0"/>
            <a:satOff val="0"/>
            <a:lumOff val="0"/>
            <a:alphaOff val="0"/>
          </a:schemeClr>
        </a:solidFill>
        <a:ln w="12700" cap="flat" cmpd="sng" algn="ctr">
          <a:solidFill>
            <a:schemeClr val="accent4">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endParaRPr lang="ru-RU" sz="1300" kern="1200"/>
        </a:p>
      </dsp:txBody>
      <dsp:txXfrm>
        <a:off x="4022719" y="738120"/>
        <a:ext cx="344529" cy="471379"/>
      </dsp:txXfrm>
    </dsp:sp>
    <dsp:sp modelId="{E7907116-899D-4DDC-BEF5-96D1D7638833}">
      <dsp:nvSpPr>
        <dsp:cNvPr id="0" name=""/>
        <dsp:cNvSpPr/>
      </dsp:nvSpPr>
      <dsp:spPr>
        <a:xfrm>
          <a:off x="4259336" y="1877061"/>
          <a:ext cx="626417" cy="626417"/>
        </a:xfrm>
        <a:prstGeom prst="downArrow">
          <a:avLst>
            <a:gd name="adj1" fmla="val 55000"/>
            <a:gd name="adj2" fmla="val 45000"/>
          </a:avLst>
        </a:prstGeom>
        <a:solidFill>
          <a:schemeClr val="accent4">
            <a:tint val="40000"/>
            <a:alpha val="90000"/>
            <a:hueOff val="5756959"/>
            <a:satOff val="-30630"/>
            <a:lumOff val="-1745"/>
            <a:alphaOff val="0"/>
          </a:schemeClr>
        </a:solidFill>
        <a:ln w="12700" cap="flat" cmpd="sng" algn="ctr">
          <a:solidFill>
            <a:schemeClr val="accent4">
              <a:tint val="40000"/>
              <a:alpha val="90000"/>
              <a:hueOff val="5756959"/>
              <a:satOff val="-30630"/>
              <a:lumOff val="-174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endParaRPr lang="ru-RU" sz="1300" kern="1200"/>
        </a:p>
      </dsp:txBody>
      <dsp:txXfrm>
        <a:off x="4400280" y="1877061"/>
        <a:ext cx="344529" cy="471379"/>
      </dsp:txXfrm>
    </dsp:sp>
    <dsp:sp modelId="{717E6571-6729-4D73-8C8D-7A950616DE1A}">
      <dsp:nvSpPr>
        <dsp:cNvPr id="0" name=""/>
        <dsp:cNvSpPr/>
      </dsp:nvSpPr>
      <dsp:spPr>
        <a:xfrm>
          <a:off x="4631262" y="3016001"/>
          <a:ext cx="626417" cy="626417"/>
        </a:xfrm>
        <a:prstGeom prst="downArrow">
          <a:avLst>
            <a:gd name="adj1" fmla="val 55000"/>
            <a:gd name="adj2" fmla="val 45000"/>
          </a:avLst>
        </a:prstGeom>
        <a:solidFill>
          <a:schemeClr val="accent4">
            <a:tint val="40000"/>
            <a:alpha val="90000"/>
            <a:hueOff val="11513918"/>
            <a:satOff val="-61261"/>
            <a:lumOff val="-3490"/>
            <a:alphaOff val="0"/>
          </a:schemeClr>
        </a:solidFill>
        <a:ln w="12700" cap="flat" cmpd="sng" algn="ctr">
          <a:solidFill>
            <a:schemeClr val="accent4">
              <a:tint val="40000"/>
              <a:alpha val="90000"/>
              <a:hueOff val="11513918"/>
              <a:satOff val="-61261"/>
              <a:lumOff val="-349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endParaRPr lang="ru-RU" sz="1300" kern="1200"/>
        </a:p>
      </dsp:txBody>
      <dsp:txXfrm>
        <a:off x="4772206" y="3016001"/>
        <a:ext cx="344529" cy="471379"/>
      </dsp:txXfrm>
    </dsp:sp>
  </dsp:spTree>
</dsp:drawing>
</file>

<file path=word/diagrams/layout1.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FFE2E-5145-4EDB-871F-33485F98C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4</Pages>
  <Words>684</Words>
  <Characters>3902</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TEMA</dc:creator>
  <cp:keywords/>
  <dc:description/>
  <cp:lastModifiedBy>TEMA</cp:lastModifiedBy>
  <cp:revision>1</cp:revision>
  <dcterms:created xsi:type="dcterms:W3CDTF">2026-03-07T12:39:00Z</dcterms:created>
  <dcterms:modified xsi:type="dcterms:W3CDTF">2026-03-07T13:32:00Z</dcterms:modified>
</cp:coreProperties>
</file>